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Improving childhood in Hounslow</w:t>
      </w:r>
    </w:p>
    <w:p>
      <w:r>
        <w:rPr>
          <w:b/>
        </w:rPr>
        <w:t>An evidence brief and practical delivery proposal</w:t>
      </w:r>
    </w:p>
    <w:p>
      <w:r>
        <w:rPr>
          <w:b w:val="0"/>
          <w:color w:val="444444"/>
          <w:sz w:val="17"/>
        </w:rPr>
        <w:t>Prepared for Joffrey • Evidence checked to 19 October 2026 • Independent analysis of public sources</w:t>
      </w:r>
    </w:p>
    <w:p>
      <w:pPr>
        <w:pStyle w:val="Heading2"/>
      </w:pPr>
      <w:r>
        <w:t>The decision this evidence supports</w:t>
      </w:r>
    </w:p>
    <w:p>
      <w:r>
        <w:rPr>
          <w:b w:val="0"/>
        </w:rPr>
        <w:t>Hounslow should use the Childhood Lottery report to commission a focused, costed improvement programme covering family housing, early childhood health access and special educational needs and disabilities (SEND). The published service responses also need urgent reconciliation. Correcting those responses and improving services should happen together.</w:t>
      </w:r>
    </w:p>
    <w:p>
      <w:r>
        <w:rPr>
          <w:b w:val="0"/>
        </w:rPr>
        <w:t>The research does not support one explanation for the whole borough. The most affected wards differ by outcome, and the public data cannot establish that cultural background or HMOs cause low vaccination uptake.</w:t>
      </w:r>
    </w:p>
    <w:p>
      <w:pPr>
        <w:pStyle w:val="Heading2"/>
      </w:pPr>
      <w:r>
        <w:t>Five findings that change the response</w:t>
      </w:r>
    </w:p>
    <w:p>
      <w:pPr>
        <w:pStyle w:val="ListBullet"/>
      </w:pPr>
      <w:r>
        <w:rPr>
          <w:b w:val="0"/>
        </w:rPr>
        <w:t>The score is broader than vaccination. Recalculating the index without any of its three vaccination measures leaves Hounslow second lowest among the 149 ranked authorities. Its weakest pillars are Care, Family and Health; Education, jobs and skills is a relative strength. [1–3]</w:t>
      </w:r>
    </w:p>
    <w:p>
      <w:pPr>
        <w:pStyle w:val="ListBullet"/>
      </w:pPr>
      <w:r>
        <w:rPr>
          <w:b w:val="0"/>
        </w:rPr>
        <w:t>Recorded service provision has an unusually large influence. Hounslow receives zero points on 17 of 25 yes/no service measures. At least one response conflicts with dated council evidence: an Educational Psychology Team existed in 2025, but staffing and timeliness were problems. [2,3,12]</w:t>
      </w:r>
    </w:p>
    <w:p>
      <w:pPr>
        <w:pStyle w:val="ListBullet"/>
      </w:pPr>
      <w:r>
        <w:rPr>
          <w:b w:val="0"/>
        </w:rPr>
        <w:t>Housing and poverty pressures are uneven. In the 2024/25 poverty data, Cranford and Hounslow Heath are highest at 43.3% of children under 16. In Census 2021, 51.4% of Hounslow Central households with dependent children were overcrowded, compared with 12.4% in Chiswick Homefields. These are different measures and years. [4–7]</w:t>
      </w:r>
    </w:p>
    <w:p>
      <w:pPr>
        <w:pStyle w:val="ListBullet"/>
      </w:pPr>
      <w:r>
        <w:rPr>
          <w:b w:val="0"/>
        </w:rPr>
        <w:t>The vaccination headline needs precision. The report’s 70.8% is second-dose MMR coverage by age five in 2024/25, not coverage of every vaccine among all children. Latest recorded borough coverage is 71.8% in 2025/26, with material data-quality qualifications. [10,11]</w:t>
      </w:r>
    </w:p>
    <w:p>
      <w:pPr>
        <w:pStyle w:val="ListBullet"/>
      </w:pPr>
      <w:r>
        <w:rPr>
          <w:b w:val="0"/>
        </w:rPr>
        <w:t>There are verified delivery gaps beyond the index. Two-year health visitor review coverage was 65.4% in 2024/25. In January–March 2026, only 36.0% of education, health and care (EHC) plans were issued within 20 weeks on the council’s measure including exceptions, against its 90% target. [13,14]</w:t>
      </w:r>
    </w:p>
    <w:p>
      <w:pPr>
        <w:pStyle w:val="Heading2"/>
      </w:pPr>
      <w:r>
        <w:t>Recommended immediate route</w:t>
      </w:r>
    </w:p>
    <w:p>
      <w:r>
        <w:rPr>
          <w:b w:val="0"/>
        </w:rPr>
        <w:t>Seek a named, funded delivery package through the proposed 10 November 2026 Cabinet decisions on the performance framework and SEND sufficiency. Require a 90-day progress report and quarterly public outcome reporting, with independent challenge through children’s scrutiny and the Health and Wellbeing Board. The forward-plan dates are proposed and may change. [18]</w:t>
      </w:r>
    </w:p>
    <w:p>
      <w:r>
        <w:rPr>
          <w:b w:val="0"/>
          <w:color w:val="444444"/>
          <w:sz w:val="17"/>
        </w:rPr>
        <w:t>Companion workbook: Hounslow_childhood_analysis.xlsx. It contains all 128 published Hounslow rows, 149-authority score calculations, sensitivity tests, all 22 wards, housing denominators, and vaccination comparisons. Recommendations in this brief are proposed actions, not approved council or NHS commitments.</w:t>
      </w:r>
    </w:p>
    <w:p>
      <w:r>
        <w:br w:type="page"/>
      </w:r>
    </w:p>
    <w:p>
      <w:pPr>
        <w:pStyle w:val="Heading1"/>
      </w:pPr>
      <w:r>
        <w:t>What actually drives the ranking</w:t>
      </w:r>
    </w:p>
    <w:p>
      <w:r>
        <w:rPr>
          <w:b w:val="0"/>
        </w:rPr>
        <w:t>The report covers six pillars. The downloaded workbook reproduces Hounslow’s published 460 points and second-lowest overall position. It combines outcomes, children’s survey responses and reported service availability; it is not a direct performance rating of the council alone. [1–3]</w:t>
      </w:r>
    </w:p>
    <w:tbl>
      <w:tblPr>
        <w:tblW w:type="auto" w:w="0"/>
        <w:jc w:val="center"/>
        <w:tblLayout w:type="fixed"/>
        <w:tblLook w:firstColumn="1" w:firstRow="1" w:lastColumn="0" w:lastRow="0" w:noHBand="0" w:noVBand="1" w:val="04A0"/>
      </w:tblPr>
      <w:tblGrid>
        <w:gridCol w:w="1944"/>
        <w:gridCol w:w="1944"/>
        <w:gridCol w:w="1584"/>
        <w:gridCol w:w="4752"/>
      </w:tblGrid>
      <w:tr>
        <w:trPr>
          <w:cantSplit/>
          <w:tblHeader/>
        </w:trPr>
        <w:tc>
          <w:tcPr>
            <w:tcW w:type="dxa" w:w="19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Pillar</w:t>
            </w:r>
          </w:p>
        </w:tc>
        <w:tc>
          <w:tcPr>
            <w:tcW w:type="dxa" w:w="19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Points from downloaded rows</w:t>
            </w:r>
          </w:p>
        </w:tc>
        <w:tc>
          <w:tcPr>
            <w:tcW w:type="dxa" w:w="158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Rank among 149</w:t>
              <w:br/>
              <w:t>1 is highest</w:t>
            </w:r>
          </w:p>
        </w:tc>
        <w:tc>
          <w:tcPr>
            <w:tcW w:type="dxa" w:w="4752"/>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Interpretation</w:t>
            </w:r>
          </w:p>
        </w:tc>
      </w:tr>
      <w:tr>
        <w:trPr>
          <w:cantSplit/>
        </w:trPr>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Care</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65 / 140</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149</w:t>
            </w:r>
          </w:p>
        </w:tc>
        <w:tc>
          <w:tcPr>
            <w:tcW w:type="dxa" w:w="475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Lowest; service-response checks are essential</w:t>
            </w:r>
          </w:p>
        </w:tc>
      </w:tr>
      <w:tr>
        <w:trPr>
          <w:cantSplit/>
        </w:trPr>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Family</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63 / 170</w:t>
            </w:r>
          </w:p>
        </w:tc>
        <w:tc>
          <w:tcPr>
            <w:tcW w:type="dxa" w:w="158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149</w:t>
            </w:r>
          </w:p>
        </w:tc>
        <w:tc>
          <w:tcPr>
            <w:tcW w:type="dxa" w:w="475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Lowest; poverty, housing and support</w:t>
            </w:r>
          </w:p>
        </w:tc>
      </w:tr>
      <w:tr>
        <w:trPr>
          <w:cantSplit/>
        </w:trPr>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Health</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70 / 170</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147</w:t>
            </w:r>
          </w:p>
        </w:tc>
        <w:tc>
          <w:tcPr>
            <w:tcW w:type="dxa" w:w="475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Third lowest; access and prevention</w:t>
            </w:r>
          </w:p>
        </w:tc>
      </w:tr>
      <w:tr>
        <w:trPr>
          <w:cantSplit/>
        </w:trPr>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Better world</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58 / 130</w:t>
            </w:r>
          </w:p>
        </w:tc>
        <w:tc>
          <w:tcPr>
            <w:tcW w:type="dxa" w:w="158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132</w:t>
            </w:r>
          </w:p>
        </w:tc>
        <w:tc>
          <w:tcPr>
            <w:tcW w:type="dxa" w:w="475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Environment, opportunity and voice</w:t>
            </w:r>
          </w:p>
        </w:tc>
      </w:tr>
      <w:tr>
        <w:trPr>
          <w:cantSplit/>
        </w:trPr>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Community</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92 / 150</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99</w:t>
            </w:r>
          </w:p>
        </w:tc>
        <w:tc>
          <w:tcPr>
            <w:tcW w:type="dxa" w:w="475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Mixed performance</w:t>
            </w:r>
          </w:p>
        </w:tc>
      </w:tr>
      <w:tr>
        <w:trPr>
          <w:cantSplit/>
        </w:trPr>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Education jobs and skills</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112 / 190</w:t>
            </w:r>
          </w:p>
        </w:tc>
        <w:tc>
          <w:tcPr>
            <w:tcW w:type="dxa" w:w="158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59</w:t>
            </w:r>
          </w:p>
        </w:tc>
        <w:tc>
          <w:tcPr>
            <w:tcW w:type="dxa" w:w="475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Relative borough strength</w:t>
            </w:r>
          </w:p>
        </w:tc>
      </w:tr>
    </w:tbl>
    <w:p>
      <w:pPr>
        <w:spacing w:after="0"/>
      </w:pPr>
      <w:r>
        <w:rPr>
          <w:b w:val="0"/>
        </w:rPr>
      </w:r>
    </w:p>
    <w:p>
      <w:r>
        <w:rPr>
          <w:b w:val="0"/>
          <w:color w:val="444444"/>
          <w:sz w:val="17"/>
        </w:rPr>
        <w:t>Our calculation from the published component scores. Pillars contain different numbers of measures, so raw totals should not be compared without their denominators. These ranks are analytical calculations, not separate official council performance grades.</w:t>
      </w:r>
    </w:p>
    <w:p>
      <w:pPr>
        <w:pStyle w:val="Heading2"/>
      </w:pPr>
      <w:r>
        <w:t>Sensitivity tests</w:t>
      </w:r>
    </w:p>
    <w:tbl>
      <w:tblPr>
        <w:tblW w:type="auto" w:w="0"/>
        <w:jc w:val="center"/>
        <w:tblLayout w:type="fixed"/>
        <w:tblLook w:firstColumn="1" w:firstRow="1" w:lastColumn="0" w:lastRow="0" w:noHBand="0" w:noVBand="1" w:val="04A0"/>
      </w:tblPr>
      <w:tblGrid>
        <w:gridCol w:w="7200"/>
        <w:gridCol w:w="3024"/>
      </w:tblGrid>
      <w:tr>
        <w:trPr>
          <w:cantSplit/>
          <w:tblHeader/>
        </w:trPr>
        <w:tc>
          <w:tcPr>
            <w:tcW w:type="dxa" w:w="720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Same change applied to all ranked authorities</w:t>
            </w:r>
          </w:p>
        </w:tc>
        <w:tc>
          <w:tcPr>
            <w:tcW w:type="dxa" w:w="302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Hounslow position</w:t>
            </w:r>
          </w:p>
        </w:tc>
      </w:tr>
      <w:tr>
        <w:trPr>
          <w:cantSplit/>
        </w:trPr>
        <w:tc>
          <w:tcPr>
            <w:tcW w:type="dxa" w:w="720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Published components</w:t>
            </w:r>
          </w:p>
        </w:tc>
        <w:tc>
          <w:tcPr>
            <w:tcW w:type="dxa" w:w="302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Second lowest</w:t>
            </w:r>
          </w:p>
        </w:tc>
      </w:tr>
      <w:tr>
        <w:trPr>
          <w:cantSplit/>
        </w:trPr>
        <w:tc>
          <w:tcPr>
            <w:tcW w:type="dxa" w:w="720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Remove the childhood MMR measure</w:t>
            </w:r>
          </w:p>
        </w:tc>
        <w:tc>
          <w:tcPr>
            <w:tcW w:type="dxa" w:w="302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Still second lowest</w:t>
            </w:r>
          </w:p>
        </w:tc>
      </w:tr>
      <w:tr>
        <w:trPr>
          <w:cantSplit/>
        </w:trPr>
        <w:tc>
          <w:tcPr>
            <w:tcW w:type="dxa" w:w="720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Remove all three vaccination measures</w:t>
            </w:r>
          </w:p>
        </w:tc>
        <w:tc>
          <w:tcPr>
            <w:tcW w:type="dxa" w:w="302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Still second lowest</w:t>
            </w:r>
          </w:p>
        </w:tc>
      </w:tr>
      <w:tr>
        <w:trPr>
          <w:cantSplit/>
        </w:trPr>
        <w:tc>
          <w:tcPr>
            <w:tcW w:type="dxa" w:w="720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Remove all 25 binary service measures</w:t>
            </w:r>
          </w:p>
        </w:tc>
        <w:tc>
          <w:tcPr>
            <w:tcW w:type="dxa" w:w="302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Joint 55th lowest; joint 93rd highest</w:t>
            </w:r>
          </w:p>
        </w:tc>
      </w:tr>
    </w:tbl>
    <w:p>
      <w:pPr>
        <w:spacing w:after="0"/>
      </w:pPr>
      <w:r>
        <w:rPr>
          <w:b w:val="0"/>
        </w:rPr>
      </w:r>
    </w:p>
    <w:p>
      <w:r>
        <w:rPr>
          <w:b w:val="0"/>
        </w:rPr>
        <w:t>The last test is not a corrected official ranking. It demonstrates that the service-return component strongly influences the headline. Hounslow scores 80 of 250 possible points on those 25 measures, compared with a median of 200 across the ranked authorities. Its 17 “No” responses deserve line-by-line verification. [3]</w:t>
      </w:r>
    </w:p>
    <w:p>
      <w:pPr>
        <w:pStyle w:val="Heading2"/>
      </w:pPr>
      <w:r>
        <w:t>What must be reconciled</w:t>
      </w:r>
    </w:p>
    <w:p>
      <w:r>
        <w:rPr>
          <w:b w:val="0"/>
        </w:rPr>
        <w:t>Request the original 2025 questionnaire, response date, eligibility definitions, submitted answers and coding history. For each disputed response, document whether a service existed at the relevant time, who could use it, its capacity, waiting time and actual reach. A commissioned voluntary-sector service may need different treatment from a council-operated team; a referral-based service is not necessarily a drop-in hub.</w:t>
      </w:r>
    </w:p>
    <w:p>
      <w:r>
        <w:rPr>
          <w:b w:val="0"/>
        </w:rPr>
        <w:t>The publication describes 96 scored measures, but the supplied workbook contains 95 scored component rows plus a derived overall row marked as scored. Summing the 95 components exactly reproduces all 149 published eligible totals. The workbook also contains 32 contextual indicators. The Commissioner should reconcile this documentation discrepancy. [2,3]</w:t>
      </w:r>
    </w:p>
    <w:p>
      <w:r>
        <w:br w:type="page"/>
      </w:r>
    </w:p>
    <w:p>
      <w:pPr>
        <w:pStyle w:val="Heading1"/>
      </w:pPr>
      <w:r>
        <w:t>The ward picture for poverty and housing</w:t>
      </w:r>
    </w:p>
    <w:p>
      <w:r>
        <w:rPr>
          <w:b w:val="0"/>
        </w:rPr>
        <w:t>The table is ordered by child poverty after housing costs. It shows where to start current investigation; it is not a combined ranking of childhood quality. Both sources use the borough’s 22 wards on 2022 boundaries. [4–7]</w:t>
      </w:r>
    </w:p>
    <w:tbl>
      <w:tblPr>
        <w:tblW w:type="auto" w:w="0"/>
        <w:jc w:val="center"/>
        <w:tblLayout w:type="fixed"/>
        <w:tblLook w:firstColumn="1" w:firstRow="1" w:lastColumn="0" w:lastRow="0" w:noHBand="0" w:noVBand="1" w:val="04A0"/>
      </w:tblPr>
      <w:tblGrid>
        <w:gridCol w:w="3240"/>
        <w:gridCol w:w="1656"/>
        <w:gridCol w:w="2592"/>
        <w:gridCol w:w="2736"/>
      </w:tblGrid>
      <w:tr>
        <w:trPr>
          <w:cantSplit/>
          <w:tblHeader/>
        </w:trPr>
        <w:tc>
          <w:tcPr>
            <w:tcW w:type="dxa" w:w="32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Ward</w:t>
            </w:r>
          </w:p>
        </w:tc>
        <w:tc>
          <w:tcPr>
            <w:tcW w:type="dxa" w:w="1656"/>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Child poverty</w:t>
              <w:br/>
              <w:t>2024/25</w:t>
            </w:r>
          </w:p>
        </w:tc>
        <w:tc>
          <w:tcPr>
            <w:tcW w:type="dxa" w:w="2592"/>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Family household</w:t>
              <w:br/>
              <w:t>overcrowding 2021</w:t>
            </w:r>
          </w:p>
        </w:tc>
        <w:tc>
          <w:tcPr>
            <w:tcW w:type="dxa" w:w="2736"/>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Overcrowded family</w:t>
              <w:br/>
              <w:t>households 2021</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Cranford</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43.3%</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42.1%</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863</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Heath</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43.3%</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39.9%</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898</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Heston West</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41.3%</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34.3%</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693</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Heston East</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39.6%</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28.8%</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417</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Hanworth Village</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38.5%</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28.6%</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645</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West</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36.4%</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45.7%</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923</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Central</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36.2%</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51.4%</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809</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Feltham North</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34.7%</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31.9%</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503</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Heston Central</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34.4%</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36.0%</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672</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Brentford East</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34.2%</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38.4%</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451</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East</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33.4%</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35.3%</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426</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Bedfont</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32.5%</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31.3%</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629</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Hanworth Park</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30.9%</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27.7%</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389</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Feltham West</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30.8%</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28.7%</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690</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Syon &amp; Brentford Lock</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29.6%</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26.6%</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448</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Isleworth</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29.3%</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24.0%</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465</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Brentford West</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27.2%</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19.1%</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185</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Osterley &amp; Spring Grove</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24.3%</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20.6%</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376</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South</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23.6%</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18.1%</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311</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Chiswick Gunnersbury</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16.1%</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16.1%</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224</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Chiswick Riverside</w:t>
            </w:r>
          </w:p>
        </w:tc>
        <w:tc>
          <w:tcPr>
            <w:tcW w:type="dxa" w:w="165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12.8%</w:t>
            </w:r>
          </w:p>
        </w:tc>
        <w:tc>
          <w:tcPr>
            <w:tcW w:type="dxa" w:w="25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12.5%</w:t>
            </w:r>
          </w:p>
        </w:tc>
        <w:tc>
          <w:tcPr>
            <w:tcW w:type="dxa" w:w="27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161</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Chiswick Homefields</w:t>
            </w:r>
          </w:p>
        </w:tc>
        <w:tc>
          <w:tcPr>
            <w:tcW w:type="dxa" w:w="165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10.9%</w:t>
            </w:r>
          </w:p>
        </w:tc>
        <w:tc>
          <w:tcPr>
            <w:tcW w:type="dxa" w:w="25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12.4%</w:t>
            </w:r>
          </w:p>
        </w:tc>
        <w:tc>
          <w:tcPr>
            <w:tcW w:type="dxa" w:w="27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207</w:t>
            </w:r>
          </w:p>
        </w:tc>
      </w:tr>
    </w:tbl>
    <w:p>
      <w:pPr>
        <w:spacing w:after="0"/>
      </w:pPr>
      <w:r>
        <w:rPr>
          <w:b w:val="0"/>
        </w:rPr>
      </w:r>
    </w:p>
    <w:tbl>
      <w:tblPr>
        <w:tblW w:type="auto" w:w="0"/>
        <w:jc w:val="center"/>
        <w:tblLayout w:type="fixed"/>
        <w:tblLook w:firstColumn="1" w:firstRow="1" w:lastColumn="0" w:lastRow="0" w:noHBand="0" w:noVBand="1" w:val="04A0"/>
      </w:tblPr>
      <w:tblGrid>
        <w:gridCol w:w="3240"/>
        <w:gridCol w:w="3240"/>
        <w:gridCol w:w="3744"/>
      </w:tblGrid>
      <w:tr>
        <w:trPr>
          <w:cantSplit/>
          <w:tblHeader/>
        </w:trPr>
        <w:tc>
          <w:tcPr>
            <w:tcW w:type="dxa" w:w="32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Comparator</w:t>
            </w:r>
          </w:p>
        </w:tc>
        <w:tc>
          <w:tcPr>
            <w:tcW w:type="dxa" w:w="32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Child poverty 2024/25</w:t>
            </w:r>
          </w:p>
        </w:tc>
        <w:tc>
          <w:tcPr>
            <w:tcW w:type="dxa" w:w="37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Family household overcrowding 2021</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w:t>
            </w:r>
          </w:p>
        </w:tc>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32.3%</w:t>
            </w:r>
          </w:p>
        </w:tc>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30.2%</w:t>
            </w:r>
          </w:p>
        </w:tc>
      </w:tr>
      <w:tr>
        <w:trPr>
          <w:cantSplit/>
        </w:trPr>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London</w:t>
            </w:r>
          </w:p>
        </w:tc>
        <w:tc>
          <w:tcPr>
            <w:tcW w:type="dxa" w:w="32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30.7%</w:t>
            </w:r>
          </w:p>
        </w:tc>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26.1%</w:t>
            </w:r>
          </w:p>
        </w:tc>
      </w:tr>
      <w:tr>
        <w:trPr>
          <w:cantSplit/>
        </w:trPr>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England</w:t>
            </w:r>
          </w:p>
        </w:tc>
        <w:tc>
          <w:tcPr>
            <w:tcW w:type="dxa" w:w="32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27.1%</w:t>
            </w:r>
          </w:p>
        </w:tc>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11.6%</w:t>
            </w:r>
          </w:p>
        </w:tc>
      </w:tr>
    </w:tbl>
    <w:p>
      <w:pPr>
        <w:spacing w:after="0"/>
      </w:pPr>
      <w:r>
        <w:rPr>
          <w:b w:val="0"/>
        </w:rPr>
      </w:r>
    </w:p>
    <w:p>
      <w:r>
        <w:rPr>
          <w:b w:val="0"/>
          <w:color w:val="444444"/>
          <w:sz w:val="17"/>
        </w:rPr>
        <w:t>Child poverty: percentage of children aged 0–15 in relative low-income families after housing costs, published local estimates. Family household overcrowding: percentage of households containing dependent children with a bedroom occupancy rating of −1 or less. It is not the percentage of children, homes in HMOs or homes with hazards. Census date: 21 March 2021. Counts are statistically perturbed. See the workbook for both numerators and denominators.</w:t>
      </w:r>
    </w:p>
    <w:p>
      <w:r>
        <w:br w:type="page"/>
      </w:r>
    </w:p>
    <w:p>
      <w:pPr>
        <w:pStyle w:val="Heading1"/>
      </w:pPr>
      <w:r>
        <w:t>Housing conditions and family stability</w:t>
      </w:r>
    </w:p>
    <w:p>
      <w:pPr>
        <w:pStyle w:val="Heading2"/>
      </w:pPr>
      <w:r>
        <w:t>Where housing work should begin</w:t>
      </w:r>
    </w:p>
    <w:p>
      <w:r>
        <w:rPr>
          <w:b w:val="0"/>
        </w:rPr>
        <w:t>Hounslow Central, Hounslow West, Cranford, Hounslow Heath and Brentford East have the five highest rates of overcrowding among households with dependent children. Rates identify concentration; counts identify scale. Hounslow West had 923 such overcrowded households, Heath 898, Cranford 863, Central 809 and Brentford East 451 in Census 2021. These are starting points for updating case-level intelligence, not a claim about every street or every family. [7]</w:t>
      </w:r>
    </w:p>
    <w:p>
      <w:r>
        <w:rPr>
          <w:b w:val="0"/>
        </w:rPr>
        <w:t>Isleworth is below the borough on both measures, but its figures still represent substantial need: child poverty of 29.3% in 2024/25 and 465 overcrowded households with dependent children in 2021, or 24.0% of those households. Chiswick’s three wards have the lowest values on both measures; this does not prove that every childhood outcome is better there. [4,7]</w:t>
      </w:r>
    </w:p>
    <w:p>
      <w:pPr>
        <w:pStyle w:val="Heading2"/>
      </w:pPr>
      <w:r>
        <w:t>Converted flats are an unreliable proxy for bad housing</w:t>
      </w:r>
    </w:p>
    <w:tbl>
      <w:tblPr>
        <w:tblW w:type="auto" w:w="0"/>
        <w:jc w:val="center"/>
        <w:tblLayout w:type="fixed"/>
        <w:tblLook w:firstColumn="1" w:firstRow="1" w:lastColumn="0" w:lastRow="0" w:noHBand="0" w:noVBand="1" w:val="04A0"/>
      </w:tblPr>
      <w:tblGrid>
        <w:gridCol w:w="4392"/>
        <w:gridCol w:w="1944"/>
        <w:gridCol w:w="1944"/>
        <w:gridCol w:w="1944"/>
      </w:tblGrid>
      <w:tr>
        <w:trPr>
          <w:cantSplit/>
          <w:tblHeader/>
        </w:trPr>
        <w:tc>
          <w:tcPr>
            <w:tcW w:type="dxa" w:w="4392"/>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Census 2021 measure</w:t>
            </w:r>
          </w:p>
        </w:tc>
        <w:tc>
          <w:tcPr>
            <w:tcW w:type="dxa" w:w="19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Hounslow Central</w:t>
            </w:r>
          </w:p>
        </w:tc>
        <w:tc>
          <w:tcPr>
            <w:tcW w:type="dxa" w:w="19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Chiswick Homefields</w:t>
            </w:r>
          </w:p>
        </w:tc>
        <w:tc>
          <w:tcPr>
            <w:tcW w:type="dxa" w:w="19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Brentford East</w:t>
            </w:r>
          </w:p>
        </w:tc>
      </w:tr>
      <w:tr>
        <w:trPr>
          <w:cantSplit/>
        </w:trPr>
        <w:tc>
          <w:tcPr>
            <w:tcW w:type="dxa" w:w="43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All households in converted or shared houses</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12.4%</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16.6%</w:t>
            </w:r>
          </w:p>
        </w:tc>
        <w:tc>
          <w:tcPr>
            <w:tcW w:type="dxa" w:w="19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w:t>
            </w:r>
          </w:p>
        </w:tc>
      </w:tr>
      <w:tr>
        <w:trPr>
          <w:cantSplit/>
        </w:trPr>
        <w:tc>
          <w:tcPr>
            <w:tcW w:type="dxa" w:w="43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Overcrowding among households with children</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51.4%</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12.4%</w:t>
            </w:r>
          </w:p>
        </w:tc>
        <w:tc>
          <w:tcPr>
            <w:tcW w:type="dxa" w:w="19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38.4%</w:t>
            </w:r>
          </w:p>
        </w:tc>
      </w:tr>
    </w:tbl>
    <w:p>
      <w:pPr>
        <w:spacing w:after="0"/>
      </w:pPr>
      <w:r>
        <w:rPr>
          <w:b w:val="0"/>
        </w:rPr>
      </w:r>
    </w:p>
    <w:p>
      <w:r>
        <w:rPr>
          <w:b w:val="0"/>
        </w:rPr>
        <w:t>The high conversion share in relatively low-crowding Chiswick and the low conversion share in overcrowded Brentford East challenge a simple “subdivision causes the borough problem” explanation. Brentford East also has a large social-rented share, 42.9% of all households. Different tenure and bedroom-supply problems need different remedies. These ward comparisons do not establish household-level causation. [7–9]</w:t>
      </w:r>
    </w:p>
    <w:p>
      <w:pPr>
        <w:pStyle w:val="Heading2"/>
      </w:pPr>
      <w:r>
        <w:t>HMOs warrant targeted enforcement and better evidence</w:t>
      </w:r>
    </w:p>
    <w:p>
      <w:r>
        <w:rPr>
          <w:b w:val="0"/>
        </w:rPr>
        <w:t>The council’s consultation evidence recorded Category 1 hazards in 686 of 1,918 inspected HMOs during 2018–2023, about 36%. That is a serious condition signal in the inspected sample, not an estimate that 36% of every HMO is unsafe or that those properties all housed children. The same evidence warns that HMO addresses had not been fully remapped to the new wards. [15]</w:t>
      </w:r>
    </w:p>
    <w:p>
      <w:r>
        <w:rPr>
          <w:b w:val="0"/>
        </w:rPr>
        <w:t>A public-register extract reviewed on 19 October 2026 still contained old ward labels alongside new ones, and records with expiry dates before the retrieval date. Consequently, the register is not suitable for a defensible ranking of currently licensed HMOs by current ward without cleaning. It also cannot reveal the whole unlicensed stock. [16]</w:t>
      </w:r>
    </w:p>
    <w:p>
      <w:r>
        <w:rPr>
          <w:b w:val="0"/>
        </w:rPr>
        <w:t>Borough-wide additional HMO licensing has applied since 11 December 2025. The useful next step is to test implementation: address identifiers and current ward mapping, licence status, inspections, hazards found, repairs verified and repeat breaches. Housing teams should coordinate enforcement with homelessness prevention and continuity of schooling and healthcare when a family must move. [17]</w:t>
      </w:r>
    </w:p>
    <w:p>
      <w:r>
        <w:br w:type="page"/>
      </w:r>
    </w:p>
    <w:p>
      <w:pPr>
        <w:pStyle w:val="Heading1"/>
      </w:pPr>
      <w:r>
        <w:t>Vaccination and access to primary care</w:t>
      </w:r>
    </w:p>
    <w:p>
      <w:r>
        <w:rPr>
          <w:b w:val="0"/>
        </w:rPr>
        <w:t>The report’s “71%” is 70.8% recorded MMR second-dose coverage at age five in 2024/25. The latest annual UKHSA data available when checked cover 2025/26. They show gaps of different sizes across vaccines, so a single borough-wide percentage is misleading. [10,11]</w:t>
      </w:r>
    </w:p>
    <w:tbl>
      <w:tblPr>
        <w:tblW w:type="auto" w:w="0"/>
        <w:jc w:val="center"/>
        <w:tblLayout w:type="fixed"/>
        <w:tblLook w:firstColumn="1" w:firstRow="1" w:lastColumn="0" w:lastRow="0" w:noHBand="0" w:noVBand="1" w:val="04A0"/>
      </w:tblPr>
      <w:tblGrid>
        <w:gridCol w:w="4464"/>
        <w:gridCol w:w="1440"/>
        <w:gridCol w:w="1440"/>
        <w:gridCol w:w="1440"/>
        <w:gridCol w:w="1440"/>
      </w:tblGrid>
      <w:tr>
        <w:trPr>
          <w:cantSplit/>
          <w:tblHeader/>
        </w:trPr>
        <w:tc>
          <w:tcPr>
            <w:tcW w:type="dxa" w:w="446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Measure</w:t>
            </w:r>
          </w:p>
        </w:tc>
        <w:tc>
          <w:tcPr>
            <w:tcW w:type="dxa" w:w="14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Hounslow</w:t>
              <w:br/>
              <w:t>2024/25</w:t>
            </w:r>
          </w:p>
        </w:tc>
        <w:tc>
          <w:tcPr>
            <w:tcW w:type="dxa" w:w="14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Hounslow</w:t>
              <w:br/>
              <w:t>2025/26</w:t>
            </w:r>
          </w:p>
        </w:tc>
        <w:tc>
          <w:tcPr>
            <w:tcW w:type="dxa" w:w="14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London</w:t>
              <w:br/>
              <w:t>2025/26</w:t>
            </w:r>
          </w:p>
        </w:tc>
        <w:tc>
          <w:tcPr>
            <w:tcW w:type="dxa" w:w="144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England</w:t>
              <w:br/>
              <w:t>2025/26</w:t>
            </w:r>
          </w:p>
        </w:tc>
      </w:tr>
      <w:tr>
        <w:trPr>
          <w:cantSplit/>
        </w:trPr>
        <w:tc>
          <w:tcPr>
            <w:tcW w:type="dxa" w:w="446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Six in one by 12 months</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86.3%</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89.0%</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85.1%</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90.5%</w:t>
            </w:r>
          </w:p>
        </w:tc>
      </w:tr>
      <w:tr>
        <w:trPr>
          <w:cantSplit/>
        </w:trPr>
        <w:tc>
          <w:tcPr>
            <w:tcW w:type="dxa" w:w="446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MMR first dose by 24 months</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80.9%</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82.5%</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79.5%</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87.9%</w:t>
            </w:r>
          </w:p>
        </w:tc>
      </w:tr>
      <w:tr>
        <w:trPr>
          <w:cantSplit/>
        </w:trPr>
        <w:tc>
          <w:tcPr>
            <w:tcW w:type="dxa" w:w="446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MMR second dose by age five</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70.8%</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71.8%</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70.4%</w:t>
            </w:r>
          </w:p>
        </w:tc>
        <w:tc>
          <w:tcPr>
            <w:tcW w:type="dxa" w:w="144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83.8%</w:t>
            </w:r>
          </w:p>
        </w:tc>
      </w:tr>
      <w:tr>
        <w:trPr>
          <w:cantSplit/>
        </w:trPr>
        <w:tc>
          <w:tcPr>
            <w:tcW w:type="dxa" w:w="446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Preschool four in one booster by five</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58.8%</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68.0%</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66.9%</w:t>
            </w:r>
          </w:p>
        </w:tc>
        <w:tc>
          <w:tcPr>
            <w:tcW w:type="dxa" w:w="144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81.9%</w:t>
            </w:r>
          </w:p>
        </w:tc>
      </w:tr>
    </w:tbl>
    <w:p>
      <w:pPr>
        <w:spacing w:after="0"/>
      </w:pPr>
      <w:r>
        <w:rPr>
          <w:b w:val="0"/>
        </w:rPr>
      </w:r>
    </w:p>
    <w:p>
      <w:pPr>
        <w:pStyle w:val="Heading2"/>
      </w:pPr>
      <w:r>
        <w:t>The clearest local vaccination priority</w:t>
      </w:r>
    </w:p>
    <w:tbl>
      <w:tblPr>
        <w:tblW w:type="auto" w:w="0"/>
        <w:jc w:val="center"/>
        <w:tblLayout w:type="fixed"/>
        <w:tblLook w:firstColumn="1" w:firstRow="1" w:lastColumn="0" w:lastRow="0" w:noHBand="0" w:noVBand="1" w:val="04A0"/>
      </w:tblPr>
      <w:tblGrid>
        <w:gridCol w:w="6336"/>
        <w:gridCol w:w="3888"/>
      </w:tblGrid>
      <w:tr>
        <w:trPr>
          <w:cantSplit/>
          <w:tblHeader/>
        </w:trPr>
        <w:tc>
          <w:tcPr>
            <w:tcW w:type="dxa" w:w="6336"/>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Primary care network</w:t>
            </w:r>
          </w:p>
        </w:tc>
        <w:tc>
          <w:tcPr>
            <w:tcW w:type="dxa" w:w="3888"/>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MMR second dose by age five</w:t>
              <w:br/>
              <w:t>2025/26</w:t>
            </w:r>
          </w:p>
        </w:tc>
      </w:tr>
      <w:tr>
        <w:trPr>
          <w:cantSplit/>
        </w:trPr>
        <w:tc>
          <w:tcPr>
            <w:tcW w:type="dxa" w:w="63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Feltham and Bedfont</w:t>
            </w:r>
          </w:p>
        </w:tc>
        <w:tc>
          <w:tcPr>
            <w:tcW w:type="dxa" w:w="3888"/>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65.4%</w:t>
            </w:r>
          </w:p>
        </w:tc>
      </w:tr>
      <w:tr>
        <w:trPr>
          <w:cantSplit/>
        </w:trPr>
        <w:tc>
          <w:tcPr>
            <w:tcW w:type="dxa" w:w="63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Brentworth</w:t>
            </w:r>
          </w:p>
        </w:tc>
        <w:tc>
          <w:tcPr>
            <w:tcW w:type="dxa" w:w="3888"/>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71.0%</w:t>
            </w:r>
          </w:p>
        </w:tc>
      </w:tr>
      <w:tr>
        <w:trPr>
          <w:cantSplit/>
        </w:trPr>
        <w:tc>
          <w:tcPr>
            <w:tcW w:type="dxa" w:w="63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Hounslow Health</w:t>
            </w:r>
          </w:p>
        </w:tc>
        <w:tc>
          <w:tcPr>
            <w:tcW w:type="dxa" w:w="3888"/>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71.8%</w:t>
            </w:r>
          </w:p>
        </w:tc>
      </w:tr>
      <w:tr>
        <w:trPr>
          <w:cantSplit/>
        </w:trPr>
        <w:tc>
          <w:tcPr>
            <w:tcW w:type="dxa" w:w="633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Great West Road</w:t>
            </w:r>
          </w:p>
        </w:tc>
        <w:tc>
          <w:tcPr>
            <w:tcW w:type="dxa" w:w="3888"/>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75.1%</w:t>
            </w:r>
          </w:p>
        </w:tc>
      </w:tr>
      <w:tr>
        <w:trPr>
          <w:cantSplit/>
        </w:trPr>
        <w:tc>
          <w:tcPr>
            <w:tcW w:type="dxa" w:w="633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Chiswick</w:t>
            </w:r>
          </w:p>
        </w:tc>
        <w:tc>
          <w:tcPr>
            <w:tcW w:type="dxa" w:w="3888"/>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80.9%</w:t>
            </w:r>
          </w:p>
        </w:tc>
      </w:tr>
    </w:tbl>
    <w:p>
      <w:pPr>
        <w:spacing w:after="0"/>
      </w:pPr>
      <w:r>
        <w:rPr>
          <w:b w:val="0"/>
        </w:rPr>
      </w:r>
    </w:p>
    <w:p>
      <w:r>
        <w:rPr>
          <w:b w:val="0"/>
        </w:rPr>
        <w:t>Feltham and Bedfont merits the first NHS cohort and access audit. These are registered GP-network populations, not ward resident populations. Practices serve children across ward boundaries. Assigning a practice’s uptake to the ward containing its building would create a false map. [11]</w:t>
      </w:r>
    </w:p>
    <w:p>
      <w:pPr>
        <w:pStyle w:val="Heading2"/>
      </w:pPr>
      <w:r>
        <w:t>Validate the records while reaching missed children</w:t>
      </w:r>
    </w:p>
    <w:p>
      <w:r>
        <w:rPr>
          <w:b w:val="0"/>
        </w:rPr>
        <w:t>UKHSA flags London child-health information system changes and problems with recording multiple-dose courses in 2024/25. Its 2025/26 commentary continues to flag population turnover and incomplete inclusion of unregistered children for affected authorities. Missing dose records can depress recorded uptake; excluding unregistered children can omit an underserved group. There is no defensible single correction factor. [10,11]</w:t>
      </w:r>
    </w:p>
    <w:p>
      <w:r>
        <w:rPr>
          <w:b w:val="0"/>
        </w:rPr>
        <w:t>Audit transfer and overseas records, invitation delivery, accessible appointment supply, missed appointments, parental concerns and movement between addresses. Report newly administered doses separately from corrections to existing records. Compare the same age, dose and eligibility definition over time, rather than treating a change between annual cohorts as proof of an intervention’s success.</w:t>
      </w:r>
    </w:p>
    <w:p>
      <w:r>
        <w:rPr>
          <w:b w:val="0"/>
        </w:rPr>
        <w:t>Neighbour comparisons also need care: latest age-five MMR2 coverage is 70.2% in Richmond, 74.2% in Ealing and 79.2% in Hillingdon. Richmond’s much stronger overall Childhood Lottery score does not mean it performs better on every preventive health measure. [3,11]</w:t>
      </w:r>
    </w:p>
    <w:p>
      <w:r>
        <w:br w:type="page"/>
      </w:r>
    </w:p>
    <w:p>
      <w:pPr>
        <w:pStyle w:val="Heading1"/>
      </w:pPr>
      <w:r>
        <w:t>Other weaknesses that require action</w:t>
      </w:r>
    </w:p>
    <w:p>
      <w:pPr>
        <w:pStyle w:val="Heading2"/>
      </w:pPr>
      <w:r>
        <w:t>Health visiting is a separate access gap</w:t>
      </w:r>
    </w:p>
    <w:p>
      <w:r>
        <w:rPr>
          <w:b w:val="0"/>
        </w:rPr>
        <w:t>Official 2024/25 data show 2,597 of 3,971 eligible children in Hounslow received a review at age two to two and a half: 65.4%, compared with 80.8% in England and 68.4% in London. This is review coverage, not the proportion of children developing normally. It is also a different measure from the coincidentally identical 65.4% vaccination figure for Feltham and Bedfont. [13]</w:t>
      </w:r>
    </w:p>
    <w:p>
      <w:r>
        <w:rPr>
          <w:b w:val="0"/>
        </w:rPr>
        <w:t>Public health commissioners and the provider should identify children missed by the review, distinguish contact failure from staffing or appointment constraints, offer accessible alternatives and track completion of referrals arising from reviews. A completed check that produces an unfulfilled referral is not the whole outcome.</w:t>
      </w:r>
    </w:p>
    <w:p>
      <w:pPr>
        <w:pStyle w:val="Heading2"/>
      </w:pPr>
      <w:r>
        <w:t>SEND needs a capacity and delivery response</w:t>
      </w:r>
    </w:p>
    <w:p>
      <w:r>
        <w:rPr>
          <w:b w:val="0"/>
        </w:rPr>
        <w:t>The council’s July–September 2025 report describes an existing Educational Psychology Team, recruitment difficulties and only 10% of due educational psychology advice received within six weeks. It also identifies late advice from health, therapy and social care. That is evidence of a delivery bottleneck, even though the Childhood Lottery return records no team. [12]</w:t>
      </w:r>
    </w:p>
    <w:p>
      <w:r>
        <w:rPr>
          <w:b w:val="0"/>
        </w:rPr>
        <w:t>The January–March 2026 performance report records 36.0% of EHC plans issued within 20 weeks, including exceptions, against a council target of 90%. It improved from 17.1% in the preceding quarter. Because the indicator includes exceptions, the complement is not a legal breach rate. A recovery plan should separately report overdue advice, the age of the backlog, new-case timeliness and whether specified support reaches children. [14]</w:t>
      </w:r>
    </w:p>
    <w:p>
      <w:pPr>
        <w:pStyle w:val="Heading2"/>
      </w:pPr>
      <w:r>
        <w:t>The broader indicator screen</w:t>
      </w:r>
    </w:p>
    <w:tbl>
      <w:tblPr>
        <w:tblW w:type="auto" w:w="0"/>
        <w:jc w:val="center"/>
        <w:tblLayout w:type="fixed"/>
        <w:tblLook w:firstColumn="1" w:firstRow="1" w:lastColumn="0" w:lastRow="0" w:noHBand="0" w:noVBand="1" w:val="04A0"/>
      </w:tblPr>
      <w:tblGrid>
        <w:gridCol w:w="3816"/>
        <w:gridCol w:w="1080"/>
        <w:gridCol w:w="1584"/>
        <w:gridCol w:w="3744"/>
      </w:tblGrid>
      <w:tr>
        <w:trPr>
          <w:cantSplit/>
          <w:tblHeader/>
        </w:trPr>
        <w:tc>
          <w:tcPr>
            <w:tcW w:type="dxa" w:w="3816"/>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Published indicator and period</w:t>
            </w:r>
          </w:p>
        </w:tc>
        <w:tc>
          <w:tcPr>
            <w:tcW w:type="dxa" w:w="108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Hounslow</w:t>
            </w:r>
          </w:p>
        </w:tc>
        <w:tc>
          <w:tcPr>
            <w:tcW w:type="dxa" w:w="158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Published England comparator</w:t>
            </w:r>
          </w:p>
        </w:tc>
        <w:tc>
          <w:tcPr>
            <w:tcW w:type="dxa" w:w="37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Practical investigation</w:t>
            </w:r>
          </w:p>
        </w:tc>
      </w:tr>
      <w:tr>
        <w:trPr>
          <w:cantSplit/>
        </w:trPr>
        <w:tc>
          <w:tcPr>
            <w:tcW w:type="dxa" w:w="381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Schools reporting breakfast provision</w:t>
              <w:br/>
              <w:t>Summer 2024</w:t>
            </w:r>
          </w:p>
        </w:tc>
        <w:tc>
          <w:tcPr>
            <w:tcW w:type="dxa" w:w="10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80.9%</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94.0%</w:t>
            </w:r>
          </w:p>
        </w:tc>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Hours, affordability, actual reach and unmet demand</w:t>
            </w:r>
          </w:p>
        </w:tc>
      </w:tr>
      <w:tr>
        <w:trPr>
          <w:cantSplit/>
        </w:trPr>
        <w:tc>
          <w:tcPr>
            <w:tcW w:type="dxa" w:w="381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Schools reporting wraparound childcare</w:t>
              <w:br/>
              <w:t>Summer 2024</w:t>
            </w:r>
          </w:p>
        </w:tc>
        <w:tc>
          <w:tcPr>
            <w:tcW w:type="dxa" w:w="10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51.5%</w:t>
            </w:r>
          </w:p>
        </w:tc>
        <w:tc>
          <w:tcPr>
            <w:tcW w:type="dxa" w:w="158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63.0%</w:t>
            </w:r>
          </w:p>
        </w:tc>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Places, opening hours, price and access for SEND families</w:t>
            </w:r>
          </w:p>
        </w:tc>
      </w:tr>
      <w:tr>
        <w:trPr>
          <w:cantSplit/>
        </w:trPr>
        <w:tc>
          <w:tcPr>
            <w:tcW w:type="dxa" w:w="381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Year 6 overweight or obesity</w:t>
              <w:br/>
              <w:t>2024/25</w:t>
            </w:r>
          </w:p>
        </w:tc>
        <w:tc>
          <w:tcPr>
            <w:tcW w:type="dxa" w:w="10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39.3%</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36.1%</w:t>
            </w:r>
          </w:p>
        </w:tc>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Food access, active travel, play and family support</w:t>
            </w:r>
          </w:p>
        </w:tc>
      </w:tr>
      <w:tr>
        <w:trPr>
          <w:cantSplit/>
        </w:trPr>
        <w:tc>
          <w:tcPr>
            <w:tcW w:type="dxa" w:w="3816"/>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Unauthorised absence in alternative provision</w:t>
              <w:br/>
              <w:t>2024/25</w:t>
            </w:r>
          </w:p>
        </w:tc>
        <w:tc>
          <w:tcPr>
            <w:tcW w:type="dxa" w:w="10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24.81%</w:t>
            </w:r>
          </w:p>
        </w:tc>
        <w:tc>
          <w:tcPr>
            <w:tcW w:type="dxa" w:w="158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19.1%</w:t>
            </w:r>
          </w:p>
        </w:tc>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Individual barriers, placement suitability and support</w:t>
            </w:r>
          </w:p>
        </w:tc>
      </w:tr>
      <w:tr>
        <w:trPr>
          <w:cantSplit/>
        </w:trPr>
        <w:tc>
          <w:tcPr>
            <w:tcW w:type="dxa" w:w="3816"/>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Looked-after children placed out of area</w:t>
              <w:br/>
              <w:t>2025</w:t>
            </w:r>
          </w:p>
        </w:tc>
        <w:tc>
          <w:tcPr>
            <w:tcW w:type="dxa" w:w="10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65.4%</w:t>
            </w:r>
          </w:p>
        </w:tc>
        <w:tc>
          <w:tcPr>
            <w:tcW w:type="dxa" w:w="158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49.2%</w:t>
            </w:r>
          </w:p>
        </w:tc>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Needs, safety, placement supply and continuity</w:t>
            </w:r>
          </w:p>
        </w:tc>
      </w:tr>
    </w:tbl>
    <w:p>
      <w:pPr>
        <w:spacing w:after="0"/>
      </w:pPr>
      <w:r>
        <w:rPr>
          <w:b w:val="0"/>
        </w:rPr>
      </w:r>
    </w:p>
    <w:p>
      <w:r>
        <w:rPr>
          <w:b w:val="0"/>
        </w:rPr>
        <w:t>Out-of-borough care can be appropriate for a child’s needs or safety. The target should be suitable, stable placements and continuity, rather than a blanket requirement to place every child locally. Children’s safety, youth access, bereavement support, care-leaver support and voice also need review; the workbook retains every published measure. [2,3]</w:t>
      </w:r>
    </w:p>
    <w:p>
      <w:r>
        <w:rPr>
          <w:b w:val="0"/>
        </w:rPr>
        <w:t>Preserve strengths: the published Attainment 8 average is 50.6 against 46.0 for England. A low composite score should not erase stronger school outcomes. [3]</w:t>
      </w:r>
    </w:p>
    <w:p>
      <w:r>
        <w:br w:type="page"/>
      </w:r>
    </w:p>
    <w:p>
      <w:pPr>
        <w:pStyle w:val="Heading1"/>
      </w:pPr>
      <w:r>
        <w:t>Testing the possible causes</w:t>
      </w:r>
    </w:p>
    <w:p>
      <w:pPr>
        <w:pStyle w:val="Heading2"/>
      </w:pPr>
      <w:r>
        <w:t>The cultural background question is testable</w:t>
      </w:r>
    </w:p>
    <w:p>
      <w:r>
        <w:rPr>
          <w:b w:val="0"/>
        </w:rPr>
        <w:t>Language, trust, beliefs, experience of public services and understanding of invitations may affect uptake. The public Hounslow data examined here do not establish which of these is important locally or how much each contributes. Ethnic identity is not a measure of culture, refusal or willingness to vaccinate.</w:t>
      </w:r>
    </w:p>
    <w:p>
      <w:r>
        <w:rPr>
          <w:b w:val="0"/>
        </w:rPr>
        <w:t>A large English study covering 2006–2021 found that several Asian ethnic groups had vaccination coverage comparable with White British children, while inequities affected other groups. This rules out using “diverse population” as a sufficient explanation; it does not identify the causes of Hounslow’s current gaps. [21]</w:t>
      </w:r>
    </w:p>
    <w:p>
      <w:r>
        <w:rPr>
          <w:b w:val="0"/>
        </w:rPr>
        <w:t>Local scrutiny already identifies practical barriers: the March 2026 deep dive describes inconsistent referral routes, reliance on word of mouth, difficulties for parents unable to read English and free support failing to reach families who need it. It recommends checking translation and referral effectiveness. These are concrete service-design problems to investigate. [25]</w:t>
      </w:r>
    </w:p>
    <w:p>
      <w:pPr>
        <w:pStyle w:val="Heading2"/>
      </w:pPr>
      <w:r>
        <w:t>Record the reasons for incomplete courses</w:t>
      </w:r>
    </w:p>
    <w:tbl>
      <w:tblPr>
        <w:tblW w:type="auto" w:w="0"/>
        <w:jc w:val="center"/>
        <w:tblLayout w:type="fixed"/>
        <w:tblLook w:firstColumn="1" w:firstRow="1" w:lastColumn="0" w:lastRow="0" w:noHBand="0" w:noVBand="1" w:val="04A0"/>
      </w:tblPr>
      <w:tblGrid>
        <w:gridCol w:w="4320"/>
        <w:gridCol w:w="5904"/>
      </w:tblGrid>
      <w:tr>
        <w:trPr>
          <w:cantSplit/>
          <w:tblHeader/>
        </w:trPr>
        <w:tc>
          <w:tcPr>
            <w:tcW w:type="dxa" w:w="432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Reason to distinguish</w:t>
            </w:r>
          </w:p>
        </w:tc>
        <w:tc>
          <w:tcPr>
            <w:tcW w:type="dxa" w:w="590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What the distinction changes</w:t>
            </w:r>
          </w:p>
        </w:tc>
      </w:tr>
      <w:tr>
        <w:trPr>
          <w:cantSplit/>
        </w:trPr>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Vaccinated elsewhere but not recorded</w:t>
            </w:r>
          </w:p>
        </w:tc>
        <w:tc>
          <w:tcPr>
            <w:tcW w:type="dxa" w:w="590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Reconcile the record; do not count it as a new vaccination</w:t>
            </w:r>
          </w:p>
        </w:tc>
      </w:tr>
      <w:tr>
        <w:trPr>
          <w:cantSplit/>
        </w:trPr>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No usable invitation or recent address move</w:t>
            </w:r>
          </w:p>
        </w:tc>
        <w:tc>
          <w:tcPr>
            <w:tcW w:type="dxa" w:w="590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Repair contact details and continuity between services</w:t>
            </w:r>
          </w:p>
        </w:tc>
      </w:tr>
      <w:tr>
        <w:trPr>
          <w:cantSplit/>
        </w:trPr>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No feasible appointment or practical barrier</w:t>
            </w:r>
          </w:p>
        </w:tc>
        <w:tc>
          <w:tcPr>
            <w:tcW w:type="dxa" w:w="590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Change appointment supply, timing, location or transport support</w:t>
            </w:r>
          </w:p>
        </w:tc>
      </w:tr>
      <w:tr>
        <w:trPr>
          <w:cantSplit/>
        </w:trPr>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Questions, concerns or explicit refusal</w:t>
            </w:r>
          </w:p>
        </w:tc>
        <w:tc>
          <w:tcPr>
            <w:tcW w:type="dxa" w:w="590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Offer trusted, respectful discussion with an appropriate professional</w:t>
            </w:r>
          </w:p>
        </w:tc>
      </w:tr>
      <w:tr>
        <w:trPr>
          <w:cantSplit/>
        </w:trPr>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Clinical deferral or other eligibility issue</w:t>
            </w:r>
          </w:p>
        </w:tc>
        <w:tc>
          <w:tcPr>
            <w:tcW w:type="dxa" w:w="590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Apply the relevant clinical pathway and review timing</w:t>
            </w:r>
          </w:p>
        </w:tc>
      </w:tr>
      <w:tr>
        <w:trPr>
          <w:cantSplit/>
        </w:trPr>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Unknown</w:t>
            </w:r>
          </w:p>
        </w:tc>
        <w:tc>
          <w:tcPr>
            <w:tcW w:type="dxa" w:w="590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Investigate before assigning an explanation</w:t>
            </w:r>
          </w:p>
        </w:tc>
      </w:tr>
    </w:tbl>
    <w:p>
      <w:pPr>
        <w:spacing w:after="0"/>
      </w:pPr>
      <w:r>
        <w:rPr>
          <w:b w:val="0"/>
        </w:rPr>
      </w:r>
    </w:p>
    <w:p>
      <w:r>
        <w:rPr>
          <w:b w:val="0"/>
        </w:rPr>
        <w:t>Ask parents directly, using interpreters where needed, through a varied sample that includes families in private renting, social renting, temporary accommodation and stable housing. Include parents who completed vaccination as well as those who have not. Otherwise the enquiry cannot identify what enables successful access.</w:t>
      </w:r>
    </w:p>
    <w:p>
      <w:pPr>
        <w:pStyle w:val="Heading2"/>
      </w:pPr>
      <w:r>
        <w:t>Use the correct geography and comparison</w:t>
      </w:r>
    </w:p>
    <w:p>
      <w:r>
        <w:rPr>
          <w:b w:val="0"/>
        </w:rPr>
        <w:t>Authorised NHS and council analysts should link eligible child cohorts to residence postcodes and current wards, with appropriate governance. Examine housing insecurity, moves, deprivation, language needs, age and practice capacity together. Publish protected aggregates, not family addresses or identifiable records. A 22-ward correlation cannot separate all these explanations, and no housing–vaccination causal estimate is claimed in this report.</w:t>
      </w:r>
    </w:p>
    <w:p>
      <w:r>
        <w:rPr>
          <w:b w:val="0"/>
        </w:rPr>
        <w:t>The same principle applies to service use: distinguish a service existing from a child being eligible, hearing about it, reaching it, obtaining a timely appointment and receiving useful support. Count where families drop out of that sequence.</w:t>
      </w:r>
    </w:p>
    <w:p>
      <w:pPr>
        <w:pStyle w:val="Heading2"/>
      </w:pPr>
      <w:r>
        <w:t>Choose interventions that match observed barriers</w:t>
      </w:r>
    </w:p>
    <w:p>
      <w:r>
        <w:rPr>
          <w:b w:val="0"/>
        </w:rPr>
        <w:t>NICE supports practical measures such as reminders, follow-up, trusted professional contact, opportunistic vaccination and accessible delivery settings. Local trials could compare enhanced recall with evening or community appointments, targeted to identified barriers. The evaluation should measure verified completed courses and reduced access gaps, with baseline and follow-up cohorts defined in advance. [22]</w:t>
      </w:r>
    </w:p>
    <w:p>
      <w:r>
        <w:br w:type="page"/>
      </w:r>
    </w:p>
    <w:p>
      <w:pPr>
        <w:pStyle w:val="Heading1"/>
      </w:pPr>
      <w:r>
        <w:t>A practical first 90 days</w:t>
      </w:r>
    </w:p>
    <w:p>
      <w:r>
        <w:rPr>
          <w:b w:val="0"/>
        </w:rPr>
        <w:t>The following are proposed deliverables. Each requires an accountable officer, a baseline, a costed capacity plan and a published review date. Numerical improvement targets should be agreed after denominator and capacity checks; none below is presented as an existing commitment.</w:t>
      </w:r>
    </w:p>
    <w:tbl>
      <w:tblPr>
        <w:tblW w:type="auto" w:w="0"/>
        <w:jc w:val="center"/>
        <w:tblLayout w:type="fixed"/>
        <w:tblLook w:firstColumn="1" w:firstRow="1" w:lastColumn="0" w:lastRow="0" w:noHBand="0" w:noVBand="1" w:val="04A0"/>
      </w:tblPr>
      <w:tblGrid>
        <w:gridCol w:w="1512"/>
        <w:gridCol w:w="4392"/>
        <w:gridCol w:w="4320"/>
      </w:tblGrid>
      <w:tr>
        <w:trPr>
          <w:cantSplit/>
          <w:tblHeader/>
        </w:trPr>
        <w:tc>
          <w:tcPr>
            <w:tcW w:type="dxa" w:w="1512"/>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Priority</w:t>
            </w:r>
          </w:p>
        </w:tc>
        <w:tc>
          <w:tcPr>
            <w:tcW w:type="dxa" w:w="4392"/>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First 90 days</w:t>
            </w:r>
          </w:p>
        </w:tc>
        <w:tc>
          <w:tcPr>
            <w:tcW w:type="dxa" w:w="432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Evidence that the work is helping</w:t>
            </w:r>
          </w:p>
        </w:tc>
      </w:tr>
      <w:tr>
        <w:trPr>
          <w:cantSplit/>
        </w:trPr>
        <w:tc>
          <w:tcPr>
            <w:tcW w:type="dxa" w:w="151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Reconcile the index</w:t>
            </w:r>
          </w:p>
        </w:tc>
        <w:tc>
          <w:tcPr>
            <w:tcW w:type="dxa" w:w="43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Publish the 95-component register, original source dates and the 17 disputed service responses. Resolve the 96-versus-95 documentation issue with the Commissioner.</w:t>
            </w:r>
          </w:p>
        </w:tc>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All disputed responses explained with evidence; service capacity and reach made visible.</w:t>
            </w:r>
          </w:p>
        </w:tc>
      </w:tr>
      <w:tr>
        <w:trPr>
          <w:cantSplit/>
        </w:trPr>
        <w:tc>
          <w:tcPr>
            <w:tcW w:type="dxa" w:w="151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Family housing</w:t>
            </w:r>
          </w:p>
        </w:tc>
        <w:tc>
          <w:tcPr>
            <w:tcW w:type="dxa" w:w="43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Update current case evidence in the five highest family-overcrowding wards. Clean address and ward mapping; prioritise hazardous properties; link enforcement with housing options.</w:t>
            </w:r>
          </w:p>
        </w:tc>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Serious hazards verified as removed; repair waiting times; repeat breaches; families safely rehoused without avoidable school or healthcare disruption.</w:t>
            </w:r>
          </w:p>
        </w:tc>
      </w:tr>
      <w:tr>
        <w:trPr>
          <w:cantSplit/>
        </w:trPr>
        <w:tc>
          <w:tcPr>
            <w:tcW w:type="dxa" w:w="151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Family income and childcare</w:t>
            </w:r>
          </w:p>
        </w:tc>
        <w:tc>
          <w:tcPr>
            <w:tcW w:type="dxa" w:w="43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Take entitlement, debt and housing-cost advice into the highest-poverty neighbourhoods. Check unmet demand for affordable breakfast and wraparound childcare, including SEND access.</w:t>
            </w:r>
          </w:p>
        </w:tc>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Eligible families obtaining support; disposable income and housing stability; affordable places used by families previously unable to access them.</w:t>
            </w:r>
          </w:p>
        </w:tc>
      </w:tr>
      <w:tr>
        <w:trPr>
          <w:cantSplit/>
        </w:trPr>
        <w:tc>
          <w:tcPr>
            <w:tcW w:type="dxa" w:w="151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Vaccination access</w:t>
            </w:r>
          </w:p>
        </w:tc>
        <w:tc>
          <w:tcPr>
            <w:tcW w:type="dxa" w:w="43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Begin with a Feltham and Bedfont cohort audit, followed by validated ward analysis. Reconcile records and offer recall and accessible appointments matched to barriers.</w:t>
            </w:r>
          </w:p>
        </w:tc>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Newly vaccinated children reported separately from corrected records; completed courses; invitation success; appointment availability; shrinking gaps.</w:t>
            </w:r>
          </w:p>
        </w:tc>
      </w:tr>
      <w:tr>
        <w:trPr>
          <w:cantSplit/>
        </w:trPr>
        <w:tc>
          <w:tcPr>
            <w:tcW w:type="dxa" w:w="151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Two-year reviews</w:t>
            </w:r>
          </w:p>
        </w:tc>
        <w:tc>
          <w:tcPr>
            <w:tcW w:type="dxa" w:w="43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Identify eligible children without a completed review. Check contact and workforce failures; offer catch-up routes and track resulting referrals.</w:t>
            </w:r>
          </w:p>
        </w:tc>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Review completion among eligible children, waiting time, successful contact and support received after referral.</w:t>
            </w:r>
          </w:p>
        </w:tc>
      </w:tr>
      <w:tr>
        <w:trPr>
          <w:cantSplit/>
        </w:trPr>
        <w:tc>
          <w:tcPr>
            <w:tcW w:type="dxa" w:w="151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SEND delivery</w:t>
            </w:r>
          </w:p>
        </w:tc>
        <w:tc>
          <w:tcPr>
            <w:tcW w:type="dxa" w:w="4392"/>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Assign responsibility for late advice across education, health and social care. Publish backlog ages and a resourced recovery schedule.</w:t>
            </w:r>
          </w:p>
        </w:tc>
        <w:tc>
          <w:tcPr>
            <w:tcW w:type="dxa" w:w="432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Timely advice and plans; oldest cases resolved; specified provision actually delivered; family experience.</w:t>
            </w:r>
          </w:p>
        </w:tc>
      </w:tr>
      <w:tr>
        <w:trPr>
          <w:cantSplit/>
        </w:trPr>
        <w:tc>
          <w:tcPr>
            <w:tcW w:type="dxa" w:w="151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Youth and care support</w:t>
            </w:r>
          </w:p>
        </w:tc>
        <w:tc>
          <w:tcPr>
            <w:tcW w:type="dxa" w:w="4392"/>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Verify the targeted services listed as absent. Ask young people about cost, travel, hours, accessibility and waiting lists; review placement continuity.</w:t>
            </w:r>
          </w:p>
        </w:tc>
        <w:tc>
          <w:tcPr>
            <w:tcW w:type="dxa" w:w="432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Eligible children reached, unmet demand, stable appropriate placements and changes made in response to children’s views.</w:t>
            </w:r>
          </w:p>
        </w:tc>
      </w:tr>
    </w:tbl>
    <w:p>
      <w:pPr>
        <w:spacing w:after="0"/>
      </w:pPr>
      <w:r>
        <w:rPr>
          <w:b w:val="0"/>
        </w:rPr>
      </w:r>
    </w:p>
    <w:p>
      <w:pPr>
        <w:pStyle w:val="Heading2"/>
      </w:pPr>
      <w:r>
        <w:t>What to review after twelve months</w:t>
      </w:r>
    </w:p>
    <w:p>
      <w:r>
        <w:rPr>
          <w:b w:val="0"/>
        </w:rPr>
        <w:t>Assess whether outcomes improved and inequalities narrowed, using comparable cohorts and definitions. A better data return can change the index without improving a child’s life; an improved service can take time to affect the index. Report both the data corrections and the outcome changes explicitly.</w:t>
      </w:r>
    </w:p>
    <w:p>
      <w:r>
        <w:rPr>
          <w:b w:val="0"/>
        </w:rPr>
        <w:t>For housing, evaluate conditions and stability as well as enforcement activity. For health, evaluate completed care and vaccination rather than invitations sent. For SEND, assess support delivered rather than plans produced. For youth provision, assess reach and unmet need rather than the number of service listings.</w:t>
      </w:r>
    </w:p>
    <w:p>
      <w:r>
        <w:br w:type="page"/>
      </w:r>
    </w:p>
    <w:p>
      <w:pPr>
        <w:pStyle w:val="Heading1"/>
      </w:pPr>
      <w:r>
        <w:t>Who needs to take responsibility</w:t>
      </w:r>
    </w:p>
    <w:p>
      <w:r>
        <w:rPr>
          <w:b w:val="0"/>
        </w:rPr>
        <w:t>Responsibility should follow control over the problem. The council must coordinate the borough response, but NHS services, schools, housing providers and national policy all affect the results. Current council portfolio holders were checked against the May 2026 portfolio list. [19]</w:t>
      </w:r>
    </w:p>
    <w:tbl>
      <w:tblPr>
        <w:tblW w:type="auto" w:w="0"/>
        <w:jc w:val="center"/>
        <w:tblLayout w:type="fixed"/>
        <w:tblLook w:firstColumn="1" w:firstRow="1" w:lastColumn="0" w:lastRow="0" w:noHBand="0" w:noVBand="1" w:val="04A0"/>
      </w:tblPr>
      <w:tblGrid>
        <w:gridCol w:w="3744"/>
        <w:gridCol w:w="6480"/>
      </w:tblGrid>
      <w:tr>
        <w:trPr>
          <w:cantSplit/>
          <w:tblHeader/>
        </w:trPr>
        <w:tc>
          <w:tcPr>
            <w:tcW w:type="dxa" w:w="374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Accountable lead</w:t>
            </w:r>
          </w:p>
        </w:tc>
        <w:tc>
          <w:tcPr>
            <w:tcW w:type="dxa" w:w="648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8"/>
              </w:rPr>
              <w:t>Work they should own or coordinate</w:t>
            </w:r>
          </w:p>
        </w:tc>
      </w:tr>
      <w:tr>
        <w:trPr>
          <w:cantSplit/>
        </w:trPr>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Shantanu Rajawat</w:t>
              <w:br/>
              <w:t>Council leader</w:t>
            </w:r>
          </w:p>
        </w:tc>
        <w:tc>
          <w:tcPr>
            <w:tcW w:type="dxa" w:w="64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Overall delivery framework, cross-agency commitments, resources and public performance reporting.</w:t>
            </w:r>
          </w:p>
        </w:tc>
      </w:tr>
      <w:tr>
        <w:trPr>
          <w:cantSplit/>
        </w:trPr>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Madeeha Asim</w:t>
              <w:br/>
              <w:t>Children and Young Futures</w:t>
            </w:r>
          </w:p>
        </w:tc>
        <w:tc>
          <w:tcPr>
            <w:tcW w:type="dxa" w:w="64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Children’s services, SEND education responsibilities, youth support and the service-return reconciliation, with the Director of Children’s Services.</w:t>
            </w:r>
          </w:p>
        </w:tc>
      </w:tr>
      <w:tr>
        <w:trPr>
          <w:cantSplit/>
        </w:trPr>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Lily Bath</w:t>
              <w:br/>
              <w:t>Health Wellbeing and Adult Social Care</w:t>
            </w:r>
          </w:p>
        </w:tc>
        <w:tc>
          <w:tcPr>
            <w:tcW w:type="dxa" w:w="64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Public health response, health visiting and partnership action on prevention, with the Director of Public Health.</w:t>
            </w:r>
          </w:p>
        </w:tc>
      </w:tr>
      <w:tr>
        <w:trPr>
          <w:cantSplit/>
        </w:trPr>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Sue Sampson</w:t>
              <w:br/>
              <w:t>Housing</w:t>
            </w:r>
          </w:p>
        </w:tc>
        <w:tc>
          <w:tcPr>
            <w:tcW w:type="dxa" w:w="64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Council housing, homelessness prevention, repairs and housing stability for families.</w:t>
            </w:r>
          </w:p>
        </w:tc>
      </w:tr>
      <w:tr>
        <w:trPr>
          <w:cantSplit/>
        </w:trPr>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Tom Bruce</w:t>
              <w:br/>
              <w:t>Regeneration and Economic Development</w:t>
            </w:r>
          </w:p>
        </w:tc>
        <w:tc>
          <w:tcPr>
            <w:tcW w:type="dxa" w:w="64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Private sector housing, HMO enforcement coordination, building control and planning; work with the housing portfolio on family options.</w:t>
            </w:r>
          </w:p>
        </w:tc>
      </w:tr>
      <w:tr>
        <w:trPr>
          <w:cantSplit/>
        </w:trPr>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Cllr Max Mosley and Cllr Samia Chaudhary</w:t>
              <w:br/>
              <w:t>Finance and customer access portfolios</w:t>
            </w:r>
          </w:p>
        </w:tc>
        <w:tc>
          <w:tcPr>
            <w:tcW w:type="dxa" w:w="64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Financial inclusion and costed capacity plans; accessible service design, clear referrals and equalities. Coordinate income and access improvements with children’s services.</w:t>
            </w:r>
          </w:p>
        </w:tc>
      </w:tr>
      <w:tr>
        <w:trPr>
          <w:cantSplit/>
        </w:trPr>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NHS England London and NHS West and North London ICB</w:t>
            </w:r>
          </w:p>
        </w:tc>
        <w:tc>
          <w:tcPr>
            <w:tcW w:type="dxa" w:w="64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Vaccination commissioning arrangements and local delivery coordination with GP networks, child-health information services and providers; NHS input to SEND advice and treatment.</w:t>
            </w:r>
          </w:p>
        </w:tc>
      </w:tr>
      <w:tr>
        <w:trPr>
          <w:cantSplit/>
        </w:trPr>
        <w:tc>
          <w:tcPr>
            <w:tcW w:type="dxa" w:w="374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Schools, trusts, landlords and housing providers</w:t>
            </w:r>
          </w:p>
        </w:tc>
        <w:tc>
          <w:tcPr>
            <w:tcW w:type="dxa" w:w="648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Accessible school provision and attendance support; property maintenance and repairs; cooperation with the agencies responsible for enforcement and family support.</w:t>
            </w:r>
          </w:p>
        </w:tc>
      </w:tr>
      <w:tr>
        <w:trPr>
          <w:cantSplit/>
        </w:trPr>
        <w:tc>
          <w:tcPr>
            <w:tcW w:type="dxa" w:w="374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Children and Young People Scrutiny</w:t>
              <w:br/>
              <w:t>Chair Cllr Karen Smith</w:t>
            </w:r>
          </w:p>
        </w:tc>
        <w:tc>
          <w:tcPr>
            <w:tcW w:type="dxa" w:w="648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8"/>
              </w:rPr>
              <w:t>Independent challenge, evidence sessions and follow-up. Scrutiny monitors delivery; it is not the executive provider of services.</w:t>
            </w:r>
          </w:p>
        </w:tc>
      </w:tr>
    </w:tbl>
    <w:p>
      <w:pPr>
        <w:spacing w:after="0"/>
      </w:pPr>
      <w:r>
        <w:rPr>
          <w:b w:val="0"/>
        </w:rPr>
      </w:r>
    </w:p>
    <w:p>
      <w:r>
        <w:rPr>
          <w:b w:val="0"/>
          <w:color w:val="444444"/>
          <w:sz w:val="17"/>
        </w:rPr>
        <w:t>Vaccination commissioning in 2026/27 remains within the NHS England public-health functions agreement. The local ICB is NHS West and North London, formed in April 2026. Scrutiny chair verified in the council directory. [20,23,26]</w:t>
      </w:r>
    </w:p>
    <w:p>
      <w:pPr>
        <w:pStyle w:val="Heading2"/>
      </w:pPr>
      <w:r>
        <w:t>Use the next decisions to secure delivery</w:t>
      </w:r>
    </w:p>
    <w:p>
      <w:r>
        <w:rPr>
          <w:b w:val="0"/>
        </w:rPr>
        <w:t>The forward plan proposes Cabinet decisions on 10 November 2026 covering the new performance and partnership framework and SEND sufficiency strategy, followed by the State of the Borough at Borough Council on 24 November. Ask for this children’s improvement package to be reflected in those decisions, with named officer leads, budgets and quarterly milestones. These are proposed meeting dates. [18]</w:t>
      </w:r>
    </w:p>
    <w:p>
      <w:r>
        <w:rPr>
          <w:b w:val="0"/>
        </w:rPr>
        <w:t>National government and the GLA also influence family income, housing supply and public-service resources. Where local capacity is insufficient, the borough should publish the quantified gap, its consequences and the specific funding or policy change sought. This gives councillors and MPs a concrete case to pursue.</w:t>
      </w:r>
    </w:p>
    <w:p>
      <w:r>
        <w:br w:type="page"/>
      </w:r>
    </w:p>
    <w:p>
      <w:pPr>
        <w:pStyle w:val="Heading1"/>
      </w:pPr>
      <w:r>
        <w:t>How to read and use this analysis</w:t>
      </w:r>
    </w:p>
    <w:p>
      <w:pPr>
        <w:pStyle w:val="Heading2"/>
      </w:pPr>
      <w:r>
        <w:t>Evidence confidence</w:t>
      </w:r>
    </w:p>
    <w:tbl>
      <w:tblPr>
        <w:tblW w:type="auto" w:w="0"/>
        <w:jc w:val="center"/>
        <w:tblLayout w:type="fixed"/>
        <w:tblLook w:firstColumn="1" w:firstRow="1" w:lastColumn="0" w:lastRow="0" w:noHBand="0" w:noVBand="1" w:val="04A0"/>
      </w:tblPr>
      <w:tblGrid>
        <w:gridCol w:w="3600"/>
        <w:gridCol w:w="6624"/>
      </w:tblGrid>
      <w:tr>
        <w:trPr>
          <w:cantSplit/>
          <w:tblHeader/>
        </w:trPr>
        <w:tc>
          <w:tcPr>
            <w:tcW w:type="dxa" w:w="3600"/>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Finding</w:t>
            </w:r>
          </w:p>
        </w:tc>
        <w:tc>
          <w:tcPr>
            <w:tcW w:type="dxa" w:w="6624"/>
            <w:vAlign w:val="center"/>
            <w:shd w:fill="203B50"/>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b/>
                <w:color w:val="FFFFFF"/>
                <w:sz w:val="19"/>
              </w:rPr>
              <w:t>What can be concluded</w:t>
            </w:r>
          </w:p>
        </w:tc>
      </w:tr>
      <w:tr>
        <w:trPr>
          <w:cantSplit/>
        </w:trPr>
        <w:tc>
          <w:tcPr>
            <w:tcW w:type="dxa" w:w="360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Published score and sensitivity calculations</w:t>
            </w:r>
          </w:p>
        </w:tc>
        <w:tc>
          <w:tcPr>
            <w:tcW w:type="dxa" w:w="662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The downloaded components reproduce all 149 eligible authority totals. The headline is highly sensitive to binary service measures.</w:t>
            </w:r>
          </w:p>
        </w:tc>
      </w:tr>
      <w:tr>
        <w:trPr>
          <w:cantSplit/>
        </w:trPr>
        <w:tc>
          <w:tcPr>
            <w:tcW w:type="dxa" w:w="360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Ward poverty and overcrowding</w:t>
            </w:r>
          </w:p>
        </w:tc>
        <w:tc>
          <w:tcPr>
            <w:tcW w:type="dxa" w:w="662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Specific areas have much higher measured need on these two outcomes. Different dates and denominators prevent treating them as one current childhood score.</w:t>
            </w:r>
          </w:p>
        </w:tc>
      </w:tr>
      <w:tr>
        <w:trPr>
          <w:cantSplit/>
        </w:trPr>
        <w:tc>
          <w:tcPr>
            <w:tcW w:type="dxa" w:w="360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Vaccination by primary care network</w:t>
            </w:r>
          </w:p>
        </w:tc>
        <w:tc>
          <w:tcPr>
            <w:tcW w:type="dxa" w:w="662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Recorded uptake differs between GP-network populations. It cannot be assigned directly to residential wards or housing categories.</w:t>
            </w:r>
          </w:p>
        </w:tc>
      </w:tr>
      <w:tr>
        <w:trPr>
          <w:cantSplit/>
        </w:trPr>
        <w:tc>
          <w:tcPr>
            <w:tcW w:type="dxa" w:w="3600"/>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Council service performance</w:t>
            </w:r>
          </w:p>
        </w:tc>
        <w:tc>
          <w:tcPr>
            <w:tcW w:type="dxa" w:w="6624"/>
            <w:vAlign w:val="center"/>
            <w:shd w:fill="F2F5F7"/>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Dated reports establish specific backlogs and advice delays. They do not establish the position in October 2026 without an updated return.</w:t>
            </w:r>
          </w:p>
        </w:tc>
      </w:tr>
      <w:tr>
        <w:trPr>
          <w:cantSplit/>
        </w:trPr>
        <w:tc>
          <w:tcPr>
            <w:tcW w:type="dxa" w:w="3600"/>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Cultural background or HMO causation</w:t>
            </w:r>
          </w:p>
        </w:tc>
        <w:tc>
          <w:tcPr>
            <w:tcW w:type="dxa" w:w="6624"/>
            <w:vAlign w:val="center"/>
            <w:shd w:fill="FFFFFF"/>
            <w:tcMar>
              <w:top w:w="55" w:type="dxa"/>
              <w:bottom w:w="55" w:type="dxa"/>
              <w:left w:w="80" w:type="dxa"/>
              <w:right w:w="80" w:type="dxa"/>
            </w:tcMar>
            <w:tcBorders>
              <w:top w:val="single" w:sz="4" w:color="D9D9D9"/>
              <w:left w:val="single" w:sz="4" w:color="D9D9D9"/>
              <w:bottom w:val="single" w:sz="4" w:color="D9D9D9"/>
              <w:right w:val="single" w:sz="4" w:color="D9D9D9"/>
            </w:tcBorders>
          </w:tcPr>
          <w:p>
            <w:pPr>
              <w:spacing w:after="0" w:before="0" w:line="240" w:lineRule="auto"/>
            </w:pPr>
            <w:r>
              <w:rPr>
                <w:rFonts w:ascii="Arial" w:hAnsi="Arial"/>
                <w:sz w:val="19"/>
              </w:rPr>
              <w:t>Not established by the available public evidence. Requires appropriate linked analysis and direct evidence from families.</w:t>
            </w:r>
          </w:p>
        </w:tc>
      </w:tr>
    </w:tbl>
    <w:p>
      <w:pPr>
        <w:spacing w:after="0"/>
      </w:pPr>
      <w:r>
        <w:rPr>
          <w:b w:val="0"/>
        </w:rPr>
      </w:r>
    </w:p>
    <w:p>
      <w:pPr>
        <w:pStyle w:val="Heading2"/>
      </w:pPr>
      <w:r>
        <w:t>Three additional checks before using contentious indicators</w:t>
      </w:r>
    </w:p>
    <w:p>
      <w:r>
        <w:rPr>
          <w:b w:val="0"/>
        </w:rPr>
        <w:t>Mortality: the dataset describes deaths registered at ages 0–19 in 2024 divided by the population aged 0–17. The age mismatch and single-year basis require validation. Ask public health and the child-death review partnership to check counts, registration versus occurrence, age-aligned multi-year trends and existing learning. Do not attribute the rate to vaccines, ethnicity or housing from this index. [2,3,24]</w:t>
      </w:r>
    </w:p>
    <w:p>
      <w:r>
        <w:rPr>
          <w:b w:val="0"/>
        </w:rPr>
        <w:t>Temporary accommodation: the report lists Hounslow at 118 children per 10,000 in 2025, against 147 in its England column. This does not support describing Hounslow as one of the most extreme areas on that particular measure. The administrative definition differs from overcrowding, housing hazards and HMOs. [3]</w:t>
      </w:r>
    </w:p>
    <w:p>
      <w:r>
        <w:rPr>
          <w:b w:val="0"/>
        </w:rPr>
        <w:t>Poverty: the report’s indicator description contains a year typo. Direct checks against the original DWP tables confirm 32.3% for Hounslow and the ward percentages are relative low income after housing costs in 2024/25. Do not splice this new series onto older before-housing-cost charts. Disclosure control means ward counts can differ slightly from the published borough total. [3–6]</w:t>
      </w:r>
    </w:p>
    <w:p>
      <w:pPr>
        <w:pStyle w:val="Heading2"/>
      </w:pPr>
      <w:r>
        <w:t>Questions to put to the joint council and NHS leadership</w:t>
      </w:r>
    </w:p>
    <w:p>
      <w:pPr>
        <w:pStyle w:val="ListBullet"/>
      </w:pPr>
      <w:r>
        <w:rPr>
          <w:b w:val="0"/>
        </w:rPr>
        <w:t>Which of the 17 service “No” responses are correct for the original reference date, and what is the current capacity and waiting time for each service?</w:t>
      </w:r>
    </w:p>
    <w:p>
      <w:pPr>
        <w:pStyle w:val="ListBullet"/>
      </w:pPr>
      <w:r>
        <w:rPr>
          <w:b w:val="0"/>
        </w:rPr>
        <w:t>Which families are being missed by health visiting and vaccination, why are they missed, and what changes will reach them?</w:t>
      </w:r>
    </w:p>
    <w:p>
      <w:pPr>
        <w:pStyle w:val="ListBullet"/>
      </w:pPr>
      <w:r>
        <w:rPr>
          <w:b w:val="0"/>
        </w:rPr>
        <w:t>How many children currently live in hazardous or overcrowded accommodation, by current ward, and how many hazards have been verified as removed?</w:t>
      </w:r>
    </w:p>
    <w:p>
      <w:pPr>
        <w:pStyle w:val="ListBullet"/>
      </w:pPr>
      <w:r>
        <w:rPr>
          <w:b w:val="0"/>
        </w:rPr>
        <w:t>Which organisation owns each SEND delay, what resources will clear it, and how will you show that children receive the specified support?</w:t>
      </w:r>
    </w:p>
    <w:p>
      <w:pPr>
        <w:pStyle w:val="ListBullet"/>
      </w:pPr>
      <w:r>
        <w:rPr>
          <w:b w:val="0"/>
        </w:rPr>
        <w:t>Who is accountable for each action, what is funded, and what will residents be able to verify after 90 days and twelve months?</w:t>
      </w:r>
    </w:p>
    <w:p>
      <w:r>
        <w:br w:type="page"/>
      </w:r>
    </w:p>
    <w:p>
      <w:pPr>
        <w:pStyle w:val="Heading1"/>
      </w:pPr>
      <w:r>
        <w:t>Sources and reproducibility</w:t>
      </w:r>
    </w:p>
    <w:p>
      <w:pPr>
        <w:spacing w:after="60"/>
      </w:pPr>
      <w:hyperlink r:id="rId11">
        <w:r>
          <w:rPr>
            <w:color w:val="174F7D"/>
          </w:rPr>
          <w:t>[1] Children’s Commissioner childhood report landing page</w:t>
        </w:r>
      </w:hyperlink>
    </w:p>
    <w:p>
      <w:pPr>
        <w:spacing w:after="200"/>
      </w:pPr>
      <w:r>
        <w:rPr>
          <w:b w:val="0"/>
          <w:color w:val="444444"/>
          <w:sz w:val="17"/>
        </w:rPr>
        <w:t>Report, scope and downloadable resources; October 2026.</w:t>
      </w:r>
    </w:p>
    <w:p>
      <w:pPr>
        <w:spacing w:after="60"/>
      </w:pPr>
      <w:hyperlink r:id="rId12">
        <w:r>
          <w:rPr>
            <w:color w:val="174F7D"/>
          </w:rPr>
          <w:t>[2] Childhood Lottery evidence annex</w:t>
        </w:r>
      </w:hyperlink>
    </w:p>
    <w:p>
      <w:pPr>
        <w:spacing w:after="200"/>
      </w:pPr>
      <w:r>
        <w:rPr>
          <w:b w:val="0"/>
          <w:color w:val="444444"/>
          <w:sz w:val="17"/>
        </w:rPr>
        <w:t>Indicator definitions, methods and service survey scope.</w:t>
      </w:r>
    </w:p>
    <w:p>
      <w:pPr>
        <w:spacing w:after="60"/>
      </w:pPr>
      <w:hyperlink r:id="rId13">
        <w:r>
          <w:rPr>
            <w:color w:val="174F7D"/>
          </w:rPr>
          <w:t>[3] Childhood Lottery full dataset</w:t>
        </w:r>
      </w:hyperlink>
    </w:p>
    <w:p>
      <w:pPr>
        <w:spacing w:after="200"/>
      </w:pPr>
      <w:r>
        <w:rPr>
          <w:b w:val="0"/>
          <w:color w:val="444444"/>
          <w:sz w:val="17"/>
        </w:rPr>
        <w:t>Downloaded source for all index calculations; 153 authorities, 149 ranked.</w:t>
      </w:r>
    </w:p>
    <w:p>
      <w:pPr>
        <w:spacing w:after="60"/>
      </w:pPr>
      <w:hyperlink r:id="rId14">
        <w:r>
          <w:rPr>
            <w:color w:val="174F7D"/>
          </w:rPr>
          <w:t>[4] Hounslow Data Hub child poverty</w:t>
        </w:r>
      </w:hyperlink>
    </w:p>
    <w:p>
      <w:pPr>
        <w:spacing w:after="200"/>
      </w:pPr>
      <w:r>
        <w:rPr>
          <w:b w:val="0"/>
          <w:color w:val="444444"/>
          <w:sz w:val="17"/>
        </w:rPr>
        <w:t>Published local poverty report; data up to 2024/25.</w:t>
      </w:r>
    </w:p>
    <w:p>
      <w:pPr>
        <w:spacing w:after="60"/>
      </w:pPr>
      <w:hyperlink r:id="rId15">
        <w:r>
          <w:rPr>
            <w:color w:val="174F7D"/>
          </w:rPr>
          <w:t>[5] DWP child poverty local area statistics 2022 to 2025</w:t>
        </w:r>
      </w:hyperlink>
    </w:p>
    <w:p>
      <w:pPr>
        <w:spacing w:after="200"/>
      </w:pPr>
      <w:r>
        <w:rPr>
          <w:b w:val="0"/>
          <w:color w:val="444444"/>
          <w:sz w:val="17"/>
        </w:rPr>
        <w:t>Original tables published 26 March 2026 independently confirm the council ward series and borough rate. Underlying council data URLs are retained in the workbook.</w:t>
      </w:r>
    </w:p>
    <w:p>
      <w:pPr>
        <w:spacing w:after="60"/>
      </w:pPr>
      <w:hyperlink r:id="rId16">
        <w:r>
          <w:rPr>
            <w:color w:val="174F7D"/>
          </w:rPr>
          <w:t>[6] DWP local child poverty methodology</w:t>
        </w:r>
      </w:hyperlink>
    </w:p>
    <w:p>
      <w:pPr>
        <w:spacing w:after="200"/>
      </w:pPr>
      <w:r>
        <w:rPr>
          <w:b w:val="0"/>
          <w:color w:val="444444"/>
          <w:sz w:val="17"/>
        </w:rPr>
        <w:t>Updated 26 March 2026; new local after-housing-cost series and limitations.</w:t>
      </w:r>
    </w:p>
    <w:p>
      <w:pPr>
        <w:spacing w:after="60"/>
      </w:pPr>
      <w:hyperlink r:id="rId17">
        <w:r>
          <w:rPr>
            <w:color w:val="174F7D"/>
          </w:rPr>
          <w:t>[7] ONS Nomis RM098 household composition and bedroom occupancy</w:t>
        </w:r>
      </w:hyperlink>
    </w:p>
    <w:p>
      <w:pPr>
        <w:spacing w:after="200"/>
      </w:pPr>
      <w:r>
        <w:rPr>
          <w:b w:val="0"/>
          <w:color w:val="444444"/>
          <w:sz w:val="17"/>
        </w:rPr>
        <w:t>Census 2021. Sum mutually exclusive household-with-dependent-child composition categories 5, 8, 10 and 13; occupancy −1 or less divided by all occupancies.</w:t>
      </w:r>
    </w:p>
    <w:p>
      <w:pPr>
        <w:spacing w:after="60"/>
      </w:pPr>
      <w:hyperlink r:id="rId18">
        <w:r>
          <w:rPr>
            <w:color w:val="174F7D"/>
          </w:rPr>
          <w:t>[8] ONS Nomis TS044 accommodation type</w:t>
        </w:r>
      </w:hyperlink>
    </w:p>
    <w:p>
      <w:pPr>
        <w:spacing w:after="200"/>
      </w:pPr>
      <w:r>
        <w:rPr>
          <w:b w:val="0"/>
          <w:color w:val="444444"/>
          <w:sz w:val="17"/>
        </w:rPr>
        <w:t>Census 2021 converted/shared-house household counts; not a legal HMO register.</w:t>
      </w:r>
    </w:p>
    <w:p>
      <w:pPr>
        <w:spacing w:after="60"/>
      </w:pPr>
      <w:hyperlink r:id="rId19">
        <w:r>
          <w:rPr>
            <w:color w:val="174F7D"/>
          </w:rPr>
          <w:t>[9] ONS Nomis TS054 tenure</w:t>
        </w:r>
      </w:hyperlink>
    </w:p>
    <w:p>
      <w:pPr>
        <w:spacing w:after="200"/>
      </w:pPr>
      <w:r>
        <w:rPr>
          <w:b w:val="0"/>
          <w:color w:val="444444"/>
          <w:sz w:val="17"/>
        </w:rPr>
        <w:t>Census 2021 private and social renting. TS052 bedroom-occupancy data also retained in the workbook.</w:t>
      </w:r>
    </w:p>
    <w:p>
      <w:pPr>
        <w:spacing w:after="60"/>
      </w:pPr>
      <w:hyperlink r:id="rId20">
        <w:r>
          <w:rPr>
            <w:color w:val="174F7D"/>
          </w:rPr>
          <w:t>[10] UKHSA COVER annual data 2024 to 2025</w:t>
        </w:r>
      </w:hyperlink>
    </w:p>
    <w:p>
      <w:pPr>
        <w:spacing w:after="200"/>
      </w:pPr>
      <w:r>
        <w:rPr>
          <w:b w:val="0"/>
          <w:color w:val="444444"/>
          <w:sz w:val="17"/>
        </w:rPr>
        <w:t>Annual local authority and supplementary GP/PCN tables; accompanying quality commentary.</w:t>
      </w:r>
    </w:p>
    <w:p>
      <w:pPr>
        <w:spacing w:after="60"/>
      </w:pPr>
      <w:hyperlink r:id="rId21">
        <w:r>
          <w:rPr>
            <w:color w:val="174F7D"/>
          </w:rPr>
          <w:t>[11] UKHSA COVER annual data 2025 to 2026</w:t>
        </w:r>
      </w:hyperlink>
    </w:p>
    <w:p>
      <w:pPr>
        <w:spacing w:after="200"/>
      </w:pPr>
      <w:r>
        <w:rPr>
          <w:b w:val="0"/>
          <w:color w:val="444444"/>
          <w:sz w:val="17"/>
        </w:rPr>
        <w:t>Latest checked annual tables; published 27 August 2026, subsequently corrected. Age-five MMR2 uses table T6a.</w:t>
      </w:r>
    </w:p>
    <w:p>
      <w:pPr>
        <w:spacing w:after="60"/>
      </w:pPr>
      <w:hyperlink r:id="rId22">
        <w:r>
          <w:rPr>
            <w:color w:val="174F7D"/>
          </w:rPr>
          <w:t>[12] Hounslow performance report Q2 2025 to 2026</w:t>
        </w:r>
      </w:hyperlink>
    </w:p>
    <w:p>
      <w:pPr>
        <w:spacing w:after="200"/>
      </w:pPr>
      <w:r>
        <w:rPr>
          <w:b w:val="0"/>
          <w:color w:val="444444"/>
          <w:sz w:val="17"/>
        </w:rPr>
        <w:t>July–September 2025; Educational Psychology Team, advice delays and care-leaver support.</w:t>
      </w:r>
    </w:p>
    <w:p>
      <w:r>
        <w:rPr>
          <w:b w:val="0"/>
          <w:color w:val="444444"/>
          <w:sz w:val="17"/>
        </w:rPr>
        <w:t>All sources checked or downloaded by 19 October 2026. The workbook separates source inputs from calculated comparisons and retains the published indicator descriptions, including source inconsistencies. Primary files and calculations were independently reconciled during preparation.</w:t>
      </w:r>
    </w:p>
    <w:p>
      <w:r>
        <w:br w:type="page"/>
      </w:r>
    </w:p>
    <w:p>
      <w:pPr>
        <w:pStyle w:val="Heading1"/>
      </w:pPr>
      <w:r>
        <w:t>Sources and service accountability</w:t>
      </w:r>
    </w:p>
    <w:p>
      <w:pPr>
        <w:spacing w:after="60"/>
      </w:pPr>
      <w:hyperlink r:id="rId23">
        <w:r>
          <w:rPr>
            <w:color w:val="174F7D"/>
          </w:rPr>
          <w:t>[13] OHID health visitor service delivery 2024 to 2025</w:t>
        </w:r>
      </w:hyperlink>
    </w:p>
    <w:p>
      <w:pPr>
        <w:spacing w:after="200"/>
      </w:pPr>
      <w:r>
        <w:rPr>
          <w:b w:val="0"/>
          <w:color w:val="444444"/>
          <w:sz w:val="17"/>
        </w:rPr>
        <w:t>Annual data and statistical commentary. Hounslow two-year review numerator 2,597, denominator 3,971; official interval 63.9–66.9%.</w:t>
      </w:r>
    </w:p>
    <w:p>
      <w:pPr>
        <w:spacing w:after="60"/>
      </w:pPr>
      <w:hyperlink r:id="rId24">
        <w:r>
          <w:rPr>
            <w:color w:val="174F7D"/>
          </w:rPr>
          <w:t>[14] Hounslow performance report Q4 2025 to 2026</w:t>
        </w:r>
      </w:hyperlink>
    </w:p>
    <w:p>
      <w:pPr>
        <w:spacing w:after="200"/>
      </w:pPr>
      <w:r>
        <w:rPr>
          <w:b w:val="0"/>
          <w:color w:val="444444"/>
          <w:sz w:val="17"/>
        </w:rPr>
        <w:t>January–March 2026; EHC timeliness including exceptions, target and recovery actions.</w:t>
      </w:r>
    </w:p>
    <w:p>
      <w:pPr>
        <w:spacing w:after="60"/>
      </w:pPr>
      <w:hyperlink r:id="rId25">
        <w:r>
          <w:rPr>
            <w:color w:val="174F7D"/>
          </w:rPr>
          <w:t>[15] Hounslow additional HMO licensing evidence</w:t>
        </w:r>
      </w:hyperlink>
    </w:p>
    <w:p>
      <w:pPr>
        <w:spacing w:after="200"/>
      </w:pPr>
      <w:r>
        <w:rPr>
          <w:b w:val="0"/>
          <w:color w:val="444444"/>
          <w:sz w:val="17"/>
        </w:rPr>
        <w:t>Inspected properties during 2018–2023; hazards and limitations of ward mapping.</w:t>
      </w:r>
    </w:p>
    <w:p>
      <w:pPr>
        <w:spacing w:after="60"/>
      </w:pPr>
      <w:hyperlink r:id="rId26">
        <w:r>
          <w:rPr>
            <w:color w:val="174F7D"/>
          </w:rPr>
          <w:t>[16] Hounslow public HMO register</w:t>
        </w:r>
      </w:hyperlink>
    </w:p>
    <w:p>
      <w:pPr>
        <w:spacing w:after="200"/>
      </w:pPr>
      <w:r>
        <w:rPr>
          <w:b w:val="0"/>
          <w:color w:val="444444"/>
          <w:sz w:val="17"/>
        </w:rPr>
        <w:t>Extract retrieved 19 October 2026; mixed ward labels and historic expiry dates require cleaning.</w:t>
      </w:r>
    </w:p>
    <w:p>
      <w:pPr>
        <w:spacing w:after="60"/>
      </w:pPr>
      <w:hyperlink r:id="rId27">
        <w:r>
          <w:rPr>
            <w:color w:val="174F7D"/>
          </w:rPr>
          <w:t>[17] Hounslow HMO licensing scheme</w:t>
        </w:r>
      </w:hyperlink>
    </w:p>
    <w:p>
      <w:pPr>
        <w:spacing w:after="200"/>
      </w:pPr>
      <w:r>
        <w:rPr>
          <w:b w:val="0"/>
          <w:color w:val="444444"/>
          <w:sz w:val="17"/>
        </w:rPr>
        <w:t>Additional licensing applies borough-wide from 11 December 2025; scope and enforcement information.</w:t>
      </w:r>
    </w:p>
    <w:p>
      <w:pPr>
        <w:spacing w:after="60"/>
      </w:pPr>
      <w:hyperlink r:id="rId28">
        <w:r>
          <w:rPr>
            <w:color w:val="174F7D"/>
          </w:rPr>
          <w:t>[18] Hounslow forward plan</w:t>
        </w:r>
      </w:hyperlink>
    </w:p>
    <w:p>
      <w:pPr>
        <w:spacing w:after="200"/>
      </w:pPr>
      <w:r>
        <w:rPr>
          <w:b w:val="0"/>
          <w:color w:val="444444"/>
          <w:sz w:val="17"/>
        </w:rPr>
        <w:t>Proposed November 2026 decisions, checked 19 October; dates subject to change.</w:t>
      </w:r>
    </w:p>
    <w:p>
      <w:pPr>
        <w:spacing w:after="60"/>
      </w:pPr>
      <w:hyperlink r:id="rId29">
        <w:r>
          <w:rPr>
            <w:color w:val="174F7D"/>
          </w:rPr>
          <w:t>[19] Hounslow cabinet portfolios</w:t>
        </w:r>
      </w:hyperlink>
    </w:p>
    <w:p>
      <w:pPr>
        <w:spacing w:after="200"/>
      </w:pPr>
      <w:r>
        <w:rPr>
          <w:b w:val="0"/>
          <w:color w:val="444444"/>
          <w:sz w:val="17"/>
        </w:rPr>
        <w:t>Current political responsibilities, following May 2026 changes. Scrutiny chair verified separately in the councillor directory.</w:t>
      </w:r>
    </w:p>
    <w:p>
      <w:pPr>
        <w:spacing w:after="60"/>
      </w:pPr>
      <w:hyperlink r:id="rId30">
        <w:r>
          <w:rPr>
            <w:color w:val="174F7D"/>
          </w:rPr>
          <w:t>[20] NHS public health functions agreement 2026 to 2027</w:t>
        </w:r>
      </w:hyperlink>
    </w:p>
    <w:p>
      <w:pPr>
        <w:spacing w:after="200"/>
      </w:pPr>
      <w:r>
        <w:rPr>
          <w:b w:val="0"/>
          <w:color w:val="444444"/>
          <w:sz w:val="17"/>
        </w:rPr>
        <w:t>Current national commissioning framework for immunisation and other public health functions.</w:t>
      </w:r>
    </w:p>
    <w:p>
      <w:pPr>
        <w:spacing w:after="60"/>
      </w:pPr>
      <w:hyperlink r:id="rId31">
        <w:r>
          <w:rPr>
            <w:color w:val="174F7D"/>
          </w:rPr>
          <w:t>[21] Ethnic inequities in routine childhood vaccinations in England</w:t>
        </w:r>
      </w:hyperlink>
    </w:p>
    <w:p>
      <w:pPr>
        <w:spacing w:after="200"/>
      </w:pPr>
      <w:r>
        <w:rPr>
          <w:b w:val="0"/>
          <w:color w:val="444444"/>
          <w:sz w:val="17"/>
        </w:rPr>
        <w:t>Primary observational research, 2006–2021; group differences do not establish causes in Hounslow.</w:t>
      </w:r>
    </w:p>
    <w:p>
      <w:pPr>
        <w:spacing w:after="60"/>
      </w:pPr>
      <w:hyperlink r:id="rId32">
        <w:r>
          <w:rPr>
            <w:color w:val="174F7D"/>
          </w:rPr>
          <w:t>[22] NICE NG218 vaccine uptake recommendations</w:t>
        </w:r>
      </w:hyperlink>
    </w:p>
    <w:p>
      <w:pPr>
        <w:spacing w:after="200"/>
      </w:pPr>
      <w:r>
        <w:rPr>
          <w:b w:val="0"/>
          <w:color w:val="444444"/>
          <w:sz w:val="17"/>
        </w:rPr>
        <w:t>Evidence-based approaches to access, invitations, follow-up and suitable delivery settings.</w:t>
      </w:r>
    </w:p>
    <w:p>
      <w:pPr>
        <w:spacing w:after="60"/>
      </w:pPr>
      <w:hyperlink r:id="rId33">
        <w:r>
          <w:rPr>
            <w:color w:val="174F7D"/>
          </w:rPr>
          <w:t>[23] NHS West and North London ICB</w:t>
        </w:r>
      </w:hyperlink>
    </w:p>
    <w:p>
      <w:pPr>
        <w:spacing w:after="200"/>
      </w:pPr>
      <w:r>
        <w:rPr>
          <w:b w:val="0"/>
          <w:color w:val="444444"/>
          <w:sz w:val="17"/>
        </w:rPr>
        <w:t>Official notice of the integrated care board formed on 1 April 2026.</w:t>
      </w:r>
    </w:p>
    <w:p>
      <w:pPr>
        <w:spacing w:after="60"/>
      </w:pPr>
      <w:hyperlink r:id="rId34">
        <w:r>
          <w:rPr>
            <w:color w:val="174F7D"/>
          </w:rPr>
          <w:t>[24] ONS user guide to mortality statistics</w:t>
        </w:r>
      </w:hyperlink>
    </w:p>
    <w:p>
      <w:pPr>
        <w:spacing w:after="200"/>
      </w:pPr>
      <w:r>
        <w:rPr>
          <w:b w:val="0"/>
          <w:color w:val="444444"/>
          <w:sz w:val="17"/>
        </w:rPr>
        <w:t>Registration-based mortality, interpretation and small-number uncertainty.</w:t>
      </w:r>
    </w:p>
    <w:p>
      <w:pPr>
        <w:spacing w:after="60"/>
      </w:pPr>
      <w:hyperlink r:id="rId35">
        <w:r>
          <w:rPr>
            <w:color w:val="174F7D"/>
          </w:rPr>
          <w:t>[25] Hounslow children and young people scrutiny deep dive</w:t>
        </w:r>
      </w:hyperlink>
    </w:p>
    <w:p>
      <w:pPr>
        <w:spacing w:after="200"/>
      </w:pPr>
      <w:r>
        <w:rPr>
          <w:b w:val="0"/>
          <w:color w:val="444444"/>
          <w:sz w:val="17"/>
        </w:rPr>
        <w:t>March 2026; practical access barriers, translation and referral recommendations.</w:t>
      </w:r>
    </w:p>
    <w:p>
      <w:pPr>
        <w:spacing w:after="60"/>
      </w:pPr>
      <w:hyperlink r:id="rId36">
        <w:r>
          <w:rPr>
            <w:color w:val="174F7D"/>
          </w:rPr>
          <w:t>[26] Councillor Karen Smith directory entry</w:t>
        </w:r>
      </w:hyperlink>
    </w:p>
    <w:p>
      <w:pPr>
        <w:spacing w:after="200"/>
      </w:pPr>
      <w:r>
        <w:rPr>
          <w:b w:val="0"/>
          <w:color w:val="444444"/>
          <w:sz w:val="17"/>
        </w:rPr>
        <w:t>Current Children and Young People Scrutiny chair, checked 19 October 2026.</w:t>
      </w:r>
    </w:p>
    <w:sectPr w:rsidR="00FC693F" w:rsidRPr="0006063C" w:rsidSect="00034616">
      <w:headerReference w:type="default" r:id="rId9"/>
      <w:footerReference w:type="default" r:id="rId10"/>
      <w:pgSz w:w="12240" w:h="15840"/>
      <w:pgMar w:top="950" w:right="1008" w:bottom="936"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19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55555"/>
        <w:sz w:val="16"/>
      </w:rPr>
      <w:t>HOUNSLOW CHILDHOOD   |   EVIDENCE AND ACTION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8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4"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4"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hildrenscommissioner.gov.uk/the-childhood-lottery/" TargetMode="External"/><Relationship Id="rId12" Type="http://schemas.openxmlformats.org/officeDocument/2006/relationships/hyperlink" Target="https://assets.childrenscommissioner.gov.uk/wpuploads/2026/10/The-Childhood-Lottery-evidence-annex.pdf" TargetMode="External"/><Relationship Id="rId13" Type="http://schemas.openxmlformats.org/officeDocument/2006/relationships/hyperlink" Target="https://assets.childrenscommissioner.gov.uk/wpuploads/2026/10/The-Childhood-Lottery-full-dataset.xlsx" TargetMode="External"/><Relationship Id="rId14" Type="http://schemas.openxmlformats.org/officeDocument/2006/relationships/hyperlink" Target="https://stats.hounslow.gov.uk/child-poverty/" TargetMode="External"/><Relationship Id="rId15" Type="http://schemas.openxmlformats.org/officeDocument/2006/relationships/hyperlink" Target="https://www.gov.uk/government/statistics/children-in-low-income-families-local-area-statistics-2022-to-2025" TargetMode="External"/><Relationship Id="rId16" Type="http://schemas.openxmlformats.org/officeDocument/2006/relationships/hyperlink" Target="https://www.gov.uk/government/publications/children-in-low-income-families-local-area-statistics-background-information-and-methodology/background-information-and-methodology-children-in-low-income-families-local-area-statistics" TargetMode="External"/><Relationship Id="rId17" Type="http://schemas.openxmlformats.org/officeDocument/2006/relationships/hyperlink" Target="https://www.nomisweb.co.uk/datasets/c2021rm098" TargetMode="External"/><Relationship Id="rId18" Type="http://schemas.openxmlformats.org/officeDocument/2006/relationships/hyperlink" Target="https://www.nomisweb.co.uk/datasets/c2021ts044" TargetMode="External"/><Relationship Id="rId19" Type="http://schemas.openxmlformats.org/officeDocument/2006/relationships/hyperlink" Target="https://www.nomisweb.co.uk/datasets/c2021ts054" TargetMode="External"/><Relationship Id="rId20" Type="http://schemas.openxmlformats.org/officeDocument/2006/relationships/hyperlink" Target="https://www.gov.uk/government/statistics/cover-of-vaccination-evaluated-rapidly-cover-programme-april-2024-to-march-2025" TargetMode="External"/><Relationship Id="rId21" Type="http://schemas.openxmlformats.org/officeDocument/2006/relationships/hyperlink" Target="https://www.gov.uk/government/statistics/cover-of-vaccination-evaluated-rapidly-cover-programme-april-2025-to-march-2026" TargetMode="External"/><Relationship Id="rId22" Type="http://schemas.openxmlformats.org/officeDocument/2006/relationships/hyperlink" Target="https://www.hounslow.gov.uk/downloads/file/13172/quarterly-performance-monitoring-2025-26-q2-appendix" TargetMode="External"/><Relationship Id="rId23" Type="http://schemas.openxmlformats.org/officeDocument/2006/relationships/hyperlink" Target="https://www.gov.uk/government/statistics/health-visitor-service-delivery-data-for-2024-to-2025" TargetMode="External"/><Relationship Id="rId24" Type="http://schemas.openxmlformats.org/officeDocument/2006/relationships/hyperlink" Target="https://democraticservices.hounslow.gov.uk/documents/s207616/Quarterly%20Performance%20Reporting%202025-26%20Quarter%204%20-%20Appendix%201.pdf" TargetMode="External"/><Relationship Id="rId25" Type="http://schemas.openxmlformats.org/officeDocument/2006/relationships/hyperlink" Target="https://democraticservices.hounslow.gov.uk/documents/s198832/Appendix%201%20for%20Additional%20HMO%20Licensing%20Consultation%20Proposals.pdf" TargetMode="External"/><Relationship Id="rId26" Type="http://schemas.openxmlformats.org/officeDocument/2006/relationships/hyperlink" Target="https://data.hounslow.gov.uk/@london-borough-of-hounslow/register-of-licensed-hmos" TargetMode="External"/><Relationship Id="rId27" Type="http://schemas.openxmlformats.org/officeDocument/2006/relationships/hyperlink" Target="https://www.hounslow.gov.uk/applyhmo" TargetMode="External"/><Relationship Id="rId28" Type="http://schemas.openxmlformats.org/officeDocument/2006/relationships/hyperlink" Target="https://www.hounslow.gov.uk/councillors-meetings-minutes/forward-plan/2" TargetMode="External"/><Relationship Id="rId29" Type="http://schemas.openxmlformats.org/officeDocument/2006/relationships/hyperlink" Target="https://www.hounslow.gov.uk/councillors-meetings-minutes/cabinet-portfolios" TargetMode="External"/><Relationship Id="rId30" Type="http://schemas.openxmlformats.org/officeDocument/2006/relationships/hyperlink" Target="https://www.gov.uk/government/publications/public-health-commissioning-in-the-nhs-2026-to-2027/nhs-public-health-functions-agreement-2026-to-2027" TargetMode="External"/><Relationship Id="rId31" Type="http://schemas.openxmlformats.org/officeDocument/2006/relationships/hyperlink" Target="https://pubmed.ncbi.nlm.nih.gov/37965428/" TargetMode="External"/><Relationship Id="rId32" Type="http://schemas.openxmlformats.org/officeDocument/2006/relationships/hyperlink" Target="https://www.nice.org.uk/guidance/ng218/chapter/recommendations" TargetMode="External"/><Relationship Id="rId33" Type="http://schemas.openxmlformats.org/officeDocument/2006/relationships/hyperlink" Target="https://www.nwlondonicb.nhs.uk/" TargetMode="External"/><Relationship Id="rId34" Type="http://schemas.openxmlformats.org/officeDocument/2006/relationships/hyperlink" Target="https://www.ons.gov.uk/peoplepopulationandcommunity/birthsdeathsandmarriages/deaths/methodologies/userguidetomortalitystatisticsjuly2017" TargetMode="External"/><Relationship Id="rId35" Type="http://schemas.openxmlformats.org/officeDocument/2006/relationships/hyperlink" Target="https://democraticservices.hounslow.gov.uk/documents/s206289/20260304%20CYP%20Panel%20Deep%20Dive%20report.pdf" TargetMode="External"/><Relationship Id="rId36" Type="http://schemas.openxmlformats.org/officeDocument/2006/relationships/hyperlink" Target="https://democraticservices.hounslow.gov.uk/mgUserInfo.aspx?UID=31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childhood in Hounslow</dc:title>
  <dc:subject>Childhood Lottery analysis, ward inequalities and accountable improvement</dc:subject>
  <dc:creator>Prepared for Joffrey</dc:creator>
  <cp:keywords>Hounslow, childhood, wards, housing, vaccination, SEND, accountability</cp:keywords>
  <dc:description>generated by python-docx</dc:description>
  <cp:lastModifiedBy/>
  <cp:revision>1</cp:revision>
  <dcterms:created xsi:type="dcterms:W3CDTF">2013-12-23T23:15:00Z</dcterms:created>
  <dcterms:modified xsi:type="dcterms:W3CDTF">2013-12-23T23:15:00Z</dcterms:modified>
  <cp:category/>
</cp:coreProperties>
</file>